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C06C5" w14:textId="77777777" w:rsidR="001D29E6" w:rsidRPr="003978CF" w:rsidRDefault="007D5CC2" w:rsidP="00825CF6">
      <w:pPr>
        <w:widowControl w:val="0"/>
        <w:jc w:val="center"/>
        <w:rPr>
          <w:bCs/>
          <w:iCs/>
        </w:rPr>
      </w:pPr>
      <w:r w:rsidRPr="003978CF">
        <w:rPr>
          <w:b/>
          <w:szCs w:val="22"/>
        </w:rPr>
        <w:t>КРАТКА ХАРАКТЕРИСТИКА НА ПРОДУКТА</w:t>
      </w:r>
    </w:p>
    <w:p w14:paraId="03BC7A14" w14:textId="77777777" w:rsidR="00324A74" w:rsidRPr="003978CF" w:rsidRDefault="00324A74" w:rsidP="00825CF6">
      <w:pPr>
        <w:widowControl w:val="0"/>
        <w:rPr>
          <w:szCs w:val="22"/>
        </w:rPr>
      </w:pPr>
    </w:p>
    <w:p w14:paraId="70A401D1" w14:textId="77777777" w:rsidR="00C45C2C" w:rsidRPr="003978CF" w:rsidRDefault="00C45C2C" w:rsidP="00825CF6">
      <w:pPr>
        <w:widowControl w:val="0"/>
        <w:rPr>
          <w:szCs w:val="22"/>
        </w:rPr>
      </w:pPr>
    </w:p>
    <w:p w14:paraId="5EE6A3BD" w14:textId="77777777" w:rsidR="001D29E6" w:rsidRPr="003978CF" w:rsidRDefault="001D29E6" w:rsidP="000C1913">
      <w:pPr>
        <w:widowControl w:val="0"/>
      </w:pPr>
      <w:r w:rsidRPr="003978CF">
        <w:rPr>
          <w:b/>
          <w:bCs/>
          <w:iCs/>
        </w:rPr>
        <w:t>1.</w:t>
      </w:r>
      <w:r w:rsidRPr="003978CF">
        <w:rPr>
          <w:b/>
          <w:bCs/>
          <w:iCs/>
        </w:rPr>
        <w:tab/>
      </w:r>
      <w:r w:rsidR="004232B4" w:rsidRPr="003978CF">
        <w:rPr>
          <w:b/>
          <w:szCs w:val="22"/>
        </w:rPr>
        <w:t>ИМЕ НА ЛЕКАРСТВЕНИЯ ПРОДУКТ</w:t>
      </w:r>
    </w:p>
    <w:p w14:paraId="51246A64" w14:textId="77777777" w:rsidR="001D29E6" w:rsidRPr="003978CF" w:rsidRDefault="001D29E6" w:rsidP="000C1913">
      <w:pPr>
        <w:rPr>
          <w:iCs/>
        </w:rPr>
      </w:pPr>
    </w:p>
    <w:p w14:paraId="7D126B45" w14:textId="77777777" w:rsidR="008C161C" w:rsidRPr="003978CF" w:rsidRDefault="00AC3DB8" w:rsidP="000C1913">
      <w:pPr>
        <w:rPr>
          <w:iCs/>
        </w:rPr>
      </w:pPr>
      <w:r>
        <w:rPr>
          <w:rFonts w:eastAsia="TimesNewRomanPS-BoldMT"/>
        </w:rPr>
        <w:t xml:space="preserve">АКАРД </w:t>
      </w:r>
      <w:r w:rsidR="004232B4" w:rsidRPr="003978CF">
        <w:rPr>
          <w:rFonts w:eastAsia="TimesNewRomanPS-BoldMT"/>
        </w:rPr>
        <w:t xml:space="preserve">75 mg </w:t>
      </w:r>
      <w:r w:rsidR="004232B4" w:rsidRPr="003978CF">
        <w:rPr>
          <w:iCs/>
        </w:rPr>
        <w:t>стомашно-устойчиви таблетки</w:t>
      </w:r>
    </w:p>
    <w:p w14:paraId="46AA3A51" w14:textId="77777777" w:rsidR="001D29E6" w:rsidRPr="003978CF" w:rsidRDefault="00AC3DB8" w:rsidP="000C1913">
      <w:r>
        <w:rPr>
          <w:rFonts w:eastAsia="TimesNewRomanPS-BoldMT"/>
        </w:rPr>
        <w:t xml:space="preserve">АКАРД </w:t>
      </w:r>
      <w:r w:rsidR="004232B4" w:rsidRPr="003978CF">
        <w:rPr>
          <w:rFonts w:eastAsia="TimesNewRomanPS-BoldMT"/>
        </w:rPr>
        <w:t xml:space="preserve">150 mg </w:t>
      </w:r>
      <w:r w:rsidR="004232B4" w:rsidRPr="003978CF">
        <w:rPr>
          <w:iCs/>
        </w:rPr>
        <w:t>стомашно-устойчиви таблетки</w:t>
      </w:r>
    </w:p>
    <w:p w14:paraId="0B8BFFD5" w14:textId="77777777" w:rsidR="00A7264A" w:rsidRPr="00A7264A" w:rsidRDefault="00A7264A" w:rsidP="00AC3DB8">
      <w:pPr>
        <w:rPr>
          <w:rFonts w:eastAsia="TimesNewRomanPS-BoldMT"/>
          <w:lang w:val="ru-RU"/>
        </w:rPr>
      </w:pPr>
    </w:p>
    <w:p w14:paraId="14E25005" w14:textId="77777777" w:rsidR="00AC3DB8" w:rsidRDefault="00AC3DB8" w:rsidP="00AC3DB8">
      <w:pPr>
        <w:rPr>
          <w:iCs/>
        </w:rPr>
      </w:pPr>
      <w:r>
        <w:rPr>
          <w:rFonts w:eastAsia="TimesNewRomanPS-BoldMT"/>
          <w:lang w:val="en-US"/>
        </w:rPr>
        <w:t>ACARD</w:t>
      </w:r>
      <w:r>
        <w:rPr>
          <w:iCs/>
        </w:rPr>
        <w:t xml:space="preserve"> 75 mg gastro-resistant tablets</w:t>
      </w:r>
    </w:p>
    <w:p w14:paraId="492487CA" w14:textId="77777777" w:rsidR="00AC3DB8" w:rsidRDefault="00AC3DB8" w:rsidP="00AC3DB8">
      <w:r>
        <w:rPr>
          <w:rFonts w:eastAsia="TimesNewRomanPS-BoldMT"/>
          <w:lang w:val="en-US"/>
        </w:rPr>
        <w:t>ACARD</w:t>
      </w:r>
      <w:r>
        <w:t xml:space="preserve"> 150 mg </w:t>
      </w:r>
      <w:r>
        <w:rPr>
          <w:iCs/>
        </w:rPr>
        <w:t>gastro-resistant tablets</w:t>
      </w:r>
    </w:p>
    <w:p w14:paraId="197A1E29" w14:textId="77777777" w:rsidR="001D29E6" w:rsidRPr="003978CF" w:rsidRDefault="001D29E6" w:rsidP="000C1913">
      <w:pPr>
        <w:widowControl w:val="0"/>
      </w:pPr>
    </w:p>
    <w:p w14:paraId="7CE3D332" w14:textId="77777777" w:rsidR="008C161C" w:rsidRPr="003978CF" w:rsidRDefault="008C161C" w:rsidP="000C1913">
      <w:pPr>
        <w:widowControl w:val="0"/>
      </w:pPr>
    </w:p>
    <w:p w14:paraId="4B2A303B" w14:textId="77777777" w:rsidR="001D29E6" w:rsidRPr="003978CF" w:rsidRDefault="001D29E6" w:rsidP="000C1913">
      <w:pPr>
        <w:widowControl w:val="0"/>
      </w:pPr>
      <w:r w:rsidRPr="003978CF">
        <w:rPr>
          <w:b/>
        </w:rPr>
        <w:t>2.</w:t>
      </w:r>
      <w:r w:rsidRPr="003978CF">
        <w:rPr>
          <w:b/>
        </w:rPr>
        <w:tab/>
      </w:r>
      <w:r w:rsidR="004232B4" w:rsidRPr="003978CF">
        <w:rPr>
          <w:b/>
        </w:rPr>
        <w:t>КАЧЕСТВЕН И КОЛИЧЕСТВЕН СЪСТАВ</w:t>
      </w:r>
    </w:p>
    <w:p w14:paraId="2C892612" w14:textId="77777777" w:rsidR="001D29E6" w:rsidRPr="003978CF" w:rsidRDefault="001D29E6" w:rsidP="000C1913"/>
    <w:p w14:paraId="248643D4" w14:textId="77777777" w:rsidR="00CC291B" w:rsidRPr="003978CF" w:rsidRDefault="00AC3DB8" w:rsidP="000C1913">
      <w:r>
        <w:rPr>
          <w:rFonts w:eastAsia="TimesNewRomanPS-BoldMT"/>
        </w:rPr>
        <w:t>А</w:t>
      </w:r>
      <w:r w:rsidR="00A7264A">
        <w:rPr>
          <w:rFonts w:eastAsia="TimesNewRomanPS-BoldMT"/>
        </w:rPr>
        <w:t>кард</w:t>
      </w:r>
      <w:r>
        <w:rPr>
          <w:rFonts w:eastAsia="TimesNewRomanPS-BoldMT"/>
        </w:rPr>
        <w:t xml:space="preserve"> </w:t>
      </w:r>
      <w:r>
        <w:t>75</w:t>
      </w:r>
      <w:r>
        <w:rPr>
          <w:lang w:val="en-US"/>
        </w:rPr>
        <w:t> </w:t>
      </w:r>
      <w:r w:rsidR="00CC291B" w:rsidRPr="003978CF">
        <w:t>mg</w:t>
      </w:r>
    </w:p>
    <w:p w14:paraId="4DE4D3D6" w14:textId="77777777" w:rsidR="00CC291B" w:rsidRPr="003978CF" w:rsidRDefault="004232B4" w:rsidP="000C1913">
      <w:pPr>
        <w:rPr>
          <w:iCs/>
        </w:rPr>
      </w:pPr>
      <w:r w:rsidRPr="003978CF">
        <w:rPr>
          <w:bCs/>
        </w:rPr>
        <w:t xml:space="preserve">Всяка стомашно-устойчива таблетка съдържа 75 mg </w:t>
      </w:r>
      <w:r w:rsidRPr="003978CF">
        <w:rPr>
          <w:iCs/>
        </w:rPr>
        <w:t>ацетилсалицилова киселина</w:t>
      </w:r>
      <w:r w:rsidR="006A7CDF" w:rsidRPr="0064203D">
        <w:rPr>
          <w:iCs/>
        </w:rPr>
        <w:t xml:space="preserve"> </w:t>
      </w:r>
      <w:r w:rsidR="006A7CDF" w:rsidRPr="0064203D">
        <w:rPr>
          <w:i/>
          <w:iCs/>
        </w:rPr>
        <w:t>(</w:t>
      </w:r>
      <w:r w:rsidR="006A7CDF" w:rsidRPr="00667E06">
        <w:rPr>
          <w:i/>
          <w:iCs/>
          <w:lang w:val="en-US"/>
        </w:rPr>
        <w:t>acetylsalicylic</w:t>
      </w:r>
      <w:r w:rsidR="006A7CDF" w:rsidRPr="0064203D">
        <w:rPr>
          <w:i/>
          <w:iCs/>
        </w:rPr>
        <w:t xml:space="preserve"> </w:t>
      </w:r>
      <w:r w:rsidR="006A7CDF" w:rsidRPr="00667E06">
        <w:rPr>
          <w:i/>
          <w:iCs/>
          <w:lang w:val="en-US"/>
        </w:rPr>
        <w:t>acid</w:t>
      </w:r>
      <w:r w:rsidR="006A7CDF" w:rsidRPr="0064203D">
        <w:rPr>
          <w:i/>
          <w:iCs/>
        </w:rPr>
        <w:t>)</w:t>
      </w:r>
      <w:r w:rsidR="00CC291B" w:rsidRPr="003978CF">
        <w:rPr>
          <w:iCs/>
        </w:rPr>
        <w:t>.</w:t>
      </w:r>
    </w:p>
    <w:p w14:paraId="5E9F9EF1" w14:textId="77777777" w:rsidR="00CC291B" w:rsidRPr="003978CF" w:rsidRDefault="00CC291B" w:rsidP="000C1913">
      <w:pPr>
        <w:rPr>
          <w:iCs/>
        </w:rPr>
      </w:pPr>
    </w:p>
    <w:p w14:paraId="2CA17A77" w14:textId="77777777" w:rsidR="00CC291B" w:rsidRPr="003978CF" w:rsidRDefault="00AC3DB8" w:rsidP="000C1913">
      <w:pPr>
        <w:rPr>
          <w:iCs/>
        </w:rPr>
      </w:pPr>
      <w:r>
        <w:rPr>
          <w:rFonts w:eastAsia="TimesNewRomanPS-BoldMT"/>
        </w:rPr>
        <w:t>А</w:t>
      </w:r>
      <w:r w:rsidR="00A7264A">
        <w:rPr>
          <w:rFonts w:eastAsia="TimesNewRomanPS-BoldMT"/>
        </w:rPr>
        <w:t>кард</w:t>
      </w:r>
      <w:r>
        <w:rPr>
          <w:rFonts w:eastAsia="TimesNewRomanPS-BoldMT"/>
        </w:rPr>
        <w:t xml:space="preserve"> </w:t>
      </w:r>
      <w:r>
        <w:rPr>
          <w:iCs/>
        </w:rPr>
        <w:t>150</w:t>
      </w:r>
      <w:r>
        <w:rPr>
          <w:iCs/>
          <w:lang w:val="en-US"/>
        </w:rPr>
        <w:t> </w:t>
      </w:r>
      <w:r w:rsidR="00CC291B" w:rsidRPr="003978CF">
        <w:rPr>
          <w:iCs/>
        </w:rPr>
        <w:t>mg</w:t>
      </w:r>
    </w:p>
    <w:p w14:paraId="49E3E4D2" w14:textId="22C85F9F" w:rsidR="002E532D" w:rsidRPr="003978CF" w:rsidRDefault="004232B4" w:rsidP="002E532D">
      <w:pPr>
        <w:rPr>
          <w:iCs/>
        </w:rPr>
      </w:pPr>
      <w:r w:rsidRPr="003978CF">
        <w:rPr>
          <w:bCs/>
        </w:rPr>
        <w:t xml:space="preserve">Всяка стомашно-устойчива таблетка съдържа 150 mg </w:t>
      </w:r>
      <w:r w:rsidRPr="003978CF">
        <w:rPr>
          <w:iCs/>
        </w:rPr>
        <w:t>ацетилсалицилова киселина</w:t>
      </w:r>
      <w:r w:rsidR="002E532D" w:rsidRPr="0064203D">
        <w:rPr>
          <w:iCs/>
        </w:rPr>
        <w:t xml:space="preserve"> </w:t>
      </w:r>
      <w:r w:rsidR="002E532D" w:rsidRPr="0064203D">
        <w:rPr>
          <w:i/>
          <w:iCs/>
        </w:rPr>
        <w:t>(</w:t>
      </w:r>
      <w:r w:rsidR="002E532D" w:rsidRPr="00332F37">
        <w:rPr>
          <w:i/>
          <w:iCs/>
          <w:lang w:val="en-US"/>
        </w:rPr>
        <w:t>acetylsalicylic</w:t>
      </w:r>
      <w:r w:rsidR="002E532D" w:rsidRPr="0064203D">
        <w:rPr>
          <w:i/>
          <w:iCs/>
        </w:rPr>
        <w:t xml:space="preserve"> </w:t>
      </w:r>
      <w:r w:rsidR="002E532D" w:rsidRPr="00332F37">
        <w:rPr>
          <w:i/>
          <w:iCs/>
          <w:lang w:val="en-US"/>
        </w:rPr>
        <w:t>acid</w:t>
      </w:r>
      <w:r w:rsidR="002E532D" w:rsidRPr="0064203D">
        <w:rPr>
          <w:i/>
          <w:iCs/>
        </w:rPr>
        <w:t>)</w:t>
      </w:r>
      <w:r w:rsidR="002E532D" w:rsidRPr="003978CF">
        <w:rPr>
          <w:iCs/>
        </w:rPr>
        <w:t>.</w:t>
      </w:r>
    </w:p>
    <w:p w14:paraId="46CE31F7" w14:textId="77777777" w:rsidR="00CC291B" w:rsidRPr="003978CF" w:rsidRDefault="00CC291B" w:rsidP="000C1913"/>
    <w:p w14:paraId="6F5FBD39" w14:textId="77777777" w:rsidR="001D29E6" w:rsidRPr="003978CF" w:rsidRDefault="004232B4" w:rsidP="000C1913">
      <w:r w:rsidRPr="003978CF">
        <w:rPr>
          <w:szCs w:val="22"/>
        </w:rPr>
        <w:t>За пълния списък на помощните вещества вижте точка 6.1</w:t>
      </w:r>
      <w:r w:rsidR="001D29E6" w:rsidRPr="003978CF">
        <w:t>.</w:t>
      </w:r>
    </w:p>
    <w:p w14:paraId="46EB3482" w14:textId="77777777" w:rsidR="001D29E6" w:rsidRPr="003978CF" w:rsidRDefault="001D29E6" w:rsidP="000C1913"/>
    <w:p w14:paraId="484A425B" w14:textId="77777777" w:rsidR="001D29E6" w:rsidRPr="003978CF" w:rsidRDefault="001D29E6" w:rsidP="000C1913"/>
    <w:p w14:paraId="63E082CF" w14:textId="77777777" w:rsidR="001D29E6" w:rsidRPr="003978CF" w:rsidRDefault="001D29E6" w:rsidP="000C1913">
      <w:pPr>
        <w:ind w:left="567" w:hanging="567"/>
        <w:rPr>
          <w:b/>
          <w:caps/>
        </w:rPr>
      </w:pPr>
      <w:r w:rsidRPr="003978CF">
        <w:rPr>
          <w:b/>
        </w:rPr>
        <w:t>3.</w:t>
      </w:r>
      <w:r w:rsidRPr="003978CF">
        <w:rPr>
          <w:b/>
        </w:rPr>
        <w:tab/>
      </w:r>
      <w:r w:rsidR="00BC0D8D" w:rsidRPr="003978CF">
        <w:rPr>
          <w:b/>
          <w:szCs w:val="22"/>
        </w:rPr>
        <w:t>ЛЕКАРСТВЕНА ФОРМА</w:t>
      </w:r>
    </w:p>
    <w:p w14:paraId="370732AA" w14:textId="77777777" w:rsidR="001D29E6" w:rsidRPr="003978CF" w:rsidRDefault="001D29E6" w:rsidP="000C1913"/>
    <w:p w14:paraId="2A2F7A14" w14:textId="77777777" w:rsidR="001D29E6" w:rsidRPr="003978CF" w:rsidRDefault="00BC0D8D" w:rsidP="00825CF6">
      <w:r w:rsidRPr="003978CF">
        <w:rPr>
          <w:bCs/>
        </w:rPr>
        <w:t>Стомашно-устойчива таблетка</w:t>
      </w:r>
    </w:p>
    <w:p w14:paraId="7A6B0E54" w14:textId="77777777" w:rsidR="001D29E6" w:rsidRPr="003978CF" w:rsidRDefault="001D29E6" w:rsidP="000C1913"/>
    <w:p w14:paraId="7811AE23" w14:textId="77777777" w:rsidR="00CC291B" w:rsidRPr="003978CF" w:rsidRDefault="00AC3DB8" w:rsidP="000C1913">
      <w:r>
        <w:rPr>
          <w:bCs/>
        </w:rPr>
        <w:t>75 mg: бяла, с форма на сърце, двойно</w:t>
      </w:r>
      <w:r w:rsidR="00BC0D8D" w:rsidRPr="003978CF">
        <w:rPr>
          <w:bCs/>
        </w:rPr>
        <w:t>изпъкнала филмирана таблетка</w:t>
      </w:r>
    </w:p>
    <w:p w14:paraId="59527E35" w14:textId="77777777" w:rsidR="00EC4E9E" w:rsidRPr="003978CF" w:rsidRDefault="00AC3DB8" w:rsidP="00AC212D">
      <w:r>
        <w:rPr>
          <w:bCs/>
        </w:rPr>
        <w:t>150 mg: бяла, кръгла, двойно</w:t>
      </w:r>
      <w:r w:rsidR="00BC0D8D" w:rsidRPr="003978CF">
        <w:rPr>
          <w:bCs/>
        </w:rPr>
        <w:t>изпъкнала филмирана таблетка</w:t>
      </w:r>
    </w:p>
    <w:p w14:paraId="4CC09D15" w14:textId="77777777" w:rsidR="00635E39" w:rsidRPr="003978CF" w:rsidRDefault="00635E39" w:rsidP="000C1913"/>
    <w:p w14:paraId="145702B4" w14:textId="77777777" w:rsidR="001D29E6" w:rsidRPr="003978CF" w:rsidRDefault="001D29E6" w:rsidP="000C1913">
      <w:pPr>
        <w:ind w:left="567" w:hanging="567"/>
        <w:rPr>
          <w:caps/>
        </w:rPr>
      </w:pPr>
      <w:r w:rsidRPr="003978CF">
        <w:rPr>
          <w:b/>
          <w:caps/>
        </w:rPr>
        <w:t>4.</w:t>
      </w:r>
      <w:r w:rsidRPr="003978CF">
        <w:rPr>
          <w:b/>
          <w:caps/>
        </w:rPr>
        <w:tab/>
      </w:r>
      <w:r w:rsidR="00BC0D8D" w:rsidRPr="003978CF">
        <w:rPr>
          <w:b/>
          <w:caps/>
          <w:szCs w:val="22"/>
        </w:rPr>
        <w:t>КЛИНИЧНИ ДАННИ</w:t>
      </w:r>
    </w:p>
    <w:p w14:paraId="690F5F39" w14:textId="77777777" w:rsidR="001D29E6" w:rsidRPr="003978CF" w:rsidRDefault="001D29E6" w:rsidP="000C1913"/>
    <w:p w14:paraId="0DC4F184" w14:textId="77777777" w:rsidR="001D29E6" w:rsidRPr="003978CF" w:rsidRDefault="001D29E6" w:rsidP="000C1913">
      <w:pPr>
        <w:ind w:left="567" w:hanging="567"/>
        <w:rPr>
          <w:b/>
        </w:rPr>
      </w:pPr>
      <w:r w:rsidRPr="003978CF">
        <w:rPr>
          <w:b/>
        </w:rPr>
        <w:t>4.1</w:t>
      </w:r>
      <w:r w:rsidRPr="003978CF">
        <w:rPr>
          <w:b/>
        </w:rPr>
        <w:tab/>
      </w:r>
      <w:r w:rsidR="00BC0D8D" w:rsidRPr="003978CF">
        <w:rPr>
          <w:b/>
          <w:szCs w:val="22"/>
        </w:rPr>
        <w:t>Терапевтични показания</w:t>
      </w:r>
    </w:p>
    <w:p w14:paraId="57720654" w14:textId="77777777" w:rsidR="001A0F3D" w:rsidRPr="003978CF" w:rsidRDefault="001A0F3D" w:rsidP="000C1913">
      <w:pPr>
        <w:ind w:left="567" w:hanging="567"/>
      </w:pPr>
    </w:p>
    <w:p w14:paraId="4C69B941" w14:textId="77777777" w:rsidR="003821AE" w:rsidRPr="003978CF" w:rsidRDefault="0031226D" w:rsidP="0031226D">
      <w:pPr>
        <w:tabs>
          <w:tab w:val="clear" w:pos="567"/>
        </w:tabs>
        <w:autoSpaceDE w:val="0"/>
        <w:autoSpaceDN w:val="0"/>
        <w:adjustRightInd w:val="0"/>
        <w:spacing w:line="240" w:lineRule="auto"/>
        <w:jc w:val="both"/>
        <w:rPr>
          <w:color w:val="000000"/>
          <w:szCs w:val="22"/>
          <w:lang w:eastAsia="pl-PL"/>
        </w:rPr>
      </w:pPr>
      <w:r w:rsidRPr="003978CF">
        <w:rPr>
          <w:color w:val="000000"/>
          <w:szCs w:val="22"/>
          <w:lang w:eastAsia="pl-PL"/>
        </w:rPr>
        <w:t>Исхемична болест на сърцето и всички клинични ситуации, при които е препоръчително пр</w:t>
      </w:r>
      <w:r w:rsidR="00AC3DB8">
        <w:rPr>
          <w:color w:val="000000"/>
          <w:szCs w:val="22"/>
          <w:lang w:eastAsia="pl-PL"/>
        </w:rPr>
        <w:t>едотвратяването на тромбоцитна</w:t>
      </w:r>
      <w:r w:rsidRPr="003978CF">
        <w:rPr>
          <w:color w:val="000000"/>
          <w:szCs w:val="22"/>
          <w:lang w:eastAsia="pl-PL"/>
        </w:rPr>
        <w:t xml:space="preserve"> агрегация</w:t>
      </w:r>
      <w:r w:rsidR="00A46488" w:rsidRPr="003978CF">
        <w:rPr>
          <w:color w:val="000000"/>
          <w:szCs w:val="22"/>
          <w:lang w:eastAsia="pl-PL"/>
        </w:rPr>
        <w:t>:</w:t>
      </w:r>
    </w:p>
    <w:p w14:paraId="0EF4CC4E" w14:textId="77777777" w:rsidR="00117A43" w:rsidRPr="003978CF" w:rsidRDefault="00117A43" w:rsidP="0031226D">
      <w:pPr>
        <w:tabs>
          <w:tab w:val="clear" w:pos="567"/>
        </w:tabs>
        <w:autoSpaceDE w:val="0"/>
        <w:autoSpaceDN w:val="0"/>
        <w:adjustRightInd w:val="0"/>
        <w:spacing w:after="5" w:line="240" w:lineRule="auto"/>
        <w:jc w:val="both"/>
        <w:rPr>
          <w:color w:val="000000"/>
          <w:szCs w:val="22"/>
          <w:lang w:eastAsia="pl-PL"/>
        </w:rPr>
      </w:pPr>
    </w:p>
    <w:p w14:paraId="604E9012" w14:textId="77777777" w:rsidR="00B452CE" w:rsidRPr="003978CF" w:rsidRDefault="00B452CE" w:rsidP="00B452CE">
      <w:pPr>
        <w:pStyle w:val="Tekstkomentarza"/>
        <w:numPr>
          <w:ilvl w:val="0"/>
          <w:numId w:val="38"/>
        </w:numPr>
        <w:ind w:left="567" w:hanging="567"/>
        <w:jc w:val="both"/>
        <w:rPr>
          <w:color w:val="000000"/>
          <w:sz w:val="22"/>
          <w:lang w:eastAsia="pl-PL"/>
        </w:rPr>
      </w:pPr>
      <w:r w:rsidRPr="003978CF">
        <w:rPr>
          <w:color w:val="000000"/>
          <w:sz w:val="22"/>
          <w:lang w:eastAsia="pl-PL"/>
        </w:rPr>
        <w:t>анамнеза за нестабилна стенокардия, освен по време на острата фаза;</w:t>
      </w:r>
    </w:p>
    <w:p w14:paraId="40F9E42C" w14:textId="77777777" w:rsidR="00B452CE" w:rsidRPr="003978CF" w:rsidRDefault="00B452CE" w:rsidP="00B452CE">
      <w:pPr>
        <w:pStyle w:val="Tekstkomentarza"/>
        <w:numPr>
          <w:ilvl w:val="0"/>
          <w:numId w:val="38"/>
        </w:numPr>
        <w:ind w:left="567" w:hanging="567"/>
        <w:jc w:val="both"/>
        <w:rPr>
          <w:color w:val="000000"/>
          <w:sz w:val="22"/>
          <w:lang w:eastAsia="pl-PL"/>
        </w:rPr>
      </w:pPr>
      <w:r w:rsidRPr="003978CF">
        <w:rPr>
          <w:color w:val="000000"/>
          <w:sz w:val="22"/>
          <w:lang w:eastAsia="pl-PL"/>
        </w:rPr>
        <w:t>вторична профилактика на инфаркт на миокарда;</w:t>
      </w:r>
    </w:p>
    <w:p w14:paraId="4DB33976" w14:textId="77777777" w:rsidR="00B452CE" w:rsidRPr="003978CF" w:rsidRDefault="00B452CE" w:rsidP="00B452CE">
      <w:pPr>
        <w:pStyle w:val="Tekstkomentarza"/>
        <w:numPr>
          <w:ilvl w:val="0"/>
          <w:numId w:val="38"/>
        </w:numPr>
        <w:ind w:left="567" w:hanging="567"/>
        <w:jc w:val="both"/>
        <w:rPr>
          <w:color w:val="000000"/>
          <w:sz w:val="22"/>
          <w:lang w:eastAsia="pl-PL"/>
        </w:rPr>
      </w:pPr>
      <w:r w:rsidRPr="003978CF">
        <w:rPr>
          <w:color w:val="000000"/>
          <w:sz w:val="22"/>
          <w:lang w:eastAsia="pl-PL"/>
        </w:rPr>
        <w:t>предотвратяване на запушване на присадката след аорто-коронарен байпас (АКБ);</w:t>
      </w:r>
    </w:p>
    <w:p w14:paraId="6FB036A9" w14:textId="77777777" w:rsidR="00B452CE" w:rsidRPr="003978CF" w:rsidRDefault="00B452CE" w:rsidP="00B452CE">
      <w:pPr>
        <w:pStyle w:val="Tekstkomentarza"/>
        <w:numPr>
          <w:ilvl w:val="0"/>
          <w:numId w:val="38"/>
        </w:numPr>
        <w:ind w:left="567" w:hanging="567"/>
        <w:jc w:val="both"/>
        <w:rPr>
          <w:color w:val="000000"/>
          <w:sz w:val="22"/>
          <w:lang w:eastAsia="pl-PL"/>
        </w:rPr>
      </w:pPr>
      <w:r w:rsidRPr="003978CF">
        <w:rPr>
          <w:color w:val="000000"/>
          <w:sz w:val="22"/>
          <w:lang w:eastAsia="pl-PL"/>
        </w:rPr>
        <w:t>коронарна ангиопластика, освен по време на острата фаза;</w:t>
      </w:r>
    </w:p>
    <w:p w14:paraId="562DE695" w14:textId="77777777" w:rsidR="00C518A9" w:rsidRPr="003978CF" w:rsidRDefault="00B452CE" w:rsidP="00B452CE">
      <w:pPr>
        <w:pStyle w:val="Tekstkomentarza"/>
        <w:numPr>
          <w:ilvl w:val="0"/>
          <w:numId w:val="38"/>
        </w:numPr>
        <w:ind w:left="567" w:hanging="567"/>
        <w:jc w:val="both"/>
        <w:rPr>
          <w:sz w:val="22"/>
          <w:szCs w:val="22"/>
        </w:rPr>
      </w:pPr>
      <w:r w:rsidRPr="003978CF">
        <w:rPr>
          <w:color w:val="000000"/>
          <w:sz w:val="22"/>
          <w:lang w:eastAsia="pl-PL"/>
        </w:rPr>
        <w:t>вторична профилактика на преходни исхемични атаки (TIA) и исхемични мозъчно-съдови инциденти (CVA), след като са изключени интрацеребрални кръвоизливи</w:t>
      </w:r>
      <w:r w:rsidR="00D551EB" w:rsidRPr="003978CF">
        <w:rPr>
          <w:sz w:val="22"/>
          <w:szCs w:val="22"/>
        </w:rPr>
        <w:t>.</w:t>
      </w:r>
    </w:p>
    <w:p w14:paraId="39F3BF44" w14:textId="77777777" w:rsidR="00766D98" w:rsidRPr="003978CF" w:rsidRDefault="00766D98" w:rsidP="0031226D">
      <w:pPr>
        <w:tabs>
          <w:tab w:val="clear" w:pos="567"/>
        </w:tabs>
        <w:autoSpaceDE w:val="0"/>
        <w:autoSpaceDN w:val="0"/>
        <w:adjustRightInd w:val="0"/>
        <w:spacing w:line="240" w:lineRule="auto"/>
        <w:jc w:val="both"/>
        <w:rPr>
          <w:color w:val="000000"/>
          <w:szCs w:val="22"/>
          <w:lang w:eastAsia="pl-PL"/>
        </w:rPr>
      </w:pPr>
    </w:p>
    <w:p w14:paraId="56FD6513" w14:textId="77777777" w:rsidR="003821AE" w:rsidRPr="003978CF" w:rsidRDefault="00AC3DB8" w:rsidP="0031226D">
      <w:pPr>
        <w:jc w:val="both"/>
        <w:rPr>
          <w:rFonts w:eastAsia="TimesNewRomanPS-BoldMT"/>
        </w:rPr>
      </w:pPr>
      <w:r>
        <w:rPr>
          <w:rFonts w:eastAsia="TimesNewRomanPS-BoldMT"/>
        </w:rPr>
        <w:t xml:space="preserve">АКАРД </w:t>
      </w:r>
      <w:r w:rsidR="00B452CE" w:rsidRPr="003978CF">
        <w:rPr>
          <w:iCs/>
          <w:szCs w:val="22"/>
        </w:rPr>
        <w:t>не се препоръчва при спешни състояния. Той е ограничен до вторична профилактика при хронично лечение</w:t>
      </w:r>
      <w:r w:rsidR="00976354" w:rsidRPr="003978CF">
        <w:rPr>
          <w:iCs/>
          <w:szCs w:val="22"/>
        </w:rPr>
        <w:t>.</w:t>
      </w:r>
    </w:p>
    <w:p w14:paraId="521B6DC8" w14:textId="77777777" w:rsidR="00766D98" w:rsidRPr="003978CF" w:rsidRDefault="00766D98" w:rsidP="000C1913"/>
    <w:p w14:paraId="014F705F" w14:textId="77777777" w:rsidR="001D29E6" w:rsidRPr="003978CF" w:rsidRDefault="001D29E6" w:rsidP="000C1913">
      <w:pPr>
        <w:ind w:left="567" w:hanging="567"/>
        <w:rPr>
          <w:b/>
        </w:rPr>
      </w:pPr>
      <w:r w:rsidRPr="003978CF">
        <w:rPr>
          <w:b/>
        </w:rPr>
        <w:t>4.2</w:t>
      </w:r>
      <w:r w:rsidRPr="003978CF">
        <w:rPr>
          <w:b/>
        </w:rPr>
        <w:tab/>
      </w:r>
      <w:r w:rsidR="00BC0D8D" w:rsidRPr="003978CF">
        <w:rPr>
          <w:b/>
          <w:szCs w:val="22"/>
        </w:rPr>
        <w:t>Дозировка и начин на приложение</w:t>
      </w:r>
    </w:p>
    <w:p w14:paraId="5F969067" w14:textId="77777777" w:rsidR="00CD302A" w:rsidRPr="003978CF" w:rsidRDefault="00CD302A" w:rsidP="000C1913">
      <w:pPr>
        <w:ind w:left="567" w:hanging="567"/>
      </w:pPr>
    </w:p>
    <w:p w14:paraId="2E2E997C" w14:textId="77777777" w:rsidR="00A46488" w:rsidRPr="003978CF" w:rsidRDefault="00BC0D8D" w:rsidP="00A46488">
      <w:pPr>
        <w:tabs>
          <w:tab w:val="clear" w:pos="567"/>
        </w:tabs>
        <w:autoSpaceDE w:val="0"/>
        <w:autoSpaceDN w:val="0"/>
        <w:adjustRightInd w:val="0"/>
        <w:spacing w:line="240" w:lineRule="auto"/>
        <w:rPr>
          <w:color w:val="000000"/>
          <w:szCs w:val="22"/>
          <w:u w:val="single"/>
          <w:lang w:eastAsia="pl-PL"/>
        </w:rPr>
      </w:pPr>
      <w:r w:rsidRPr="003978CF">
        <w:rPr>
          <w:szCs w:val="22"/>
          <w:u w:val="single"/>
        </w:rPr>
        <w:t>Дозировка</w:t>
      </w:r>
    </w:p>
    <w:p w14:paraId="4CC2F5B9" w14:textId="77777777" w:rsidR="00A46488" w:rsidRPr="003978CF" w:rsidRDefault="00A46488" w:rsidP="00A46488">
      <w:pPr>
        <w:tabs>
          <w:tab w:val="clear" w:pos="567"/>
        </w:tabs>
        <w:autoSpaceDE w:val="0"/>
        <w:autoSpaceDN w:val="0"/>
        <w:adjustRightInd w:val="0"/>
        <w:spacing w:line="240" w:lineRule="auto"/>
        <w:rPr>
          <w:color w:val="000000"/>
          <w:szCs w:val="22"/>
          <w:lang w:eastAsia="pl-PL"/>
        </w:rPr>
      </w:pPr>
    </w:p>
    <w:p w14:paraId="6E59A594" w14:textId="77777777" w:rsidR="00A46488" w:rsidRPr="003978CF" w:rsidRDefault="00B452CE" w:rsidP="00A46488">
      <w:pPr>
        <w:tabs>
          <w:tab w:val="clear" w:pos="567"/>
        </w:tabs>
        <w:autoSpaceDE w:val="0"/>
        <w:autoSpaceDN w:val="0"/>
        <w:adjustRightInd w:val="0"/>
        <w:spacing w:line="240" w:lineRule="auto"/>
        <w:rPr>
          <w:color w:val="000000"/>
          <w:szCs w:val="22"/>
          <w:lang w:eastAsia="pl-PL"/>
        </w:rPr>
      </w:pPr>
      <w:r w:rsidRPr="003978CF">
        <w:t>Трябва да бъде потърсен съвет от лекар, преди започване на лечението за първи път</w:t>
      </w:r>
      <w:r w:rsidR="00A46488" w:rsidRPr="003978CF">
        <w:rPr>
          <w:color w:val="000000"/>
          <w:szCs w:val="22"/>
          <w:lang w:eastAsia="pl-PL"/>
        </w:rPr>
        <w:t>.</w:t>
      </w:r>
    </w:p>
    <w:p w14:paraId="003203C6" w14:textId="77777777" w:rsidR="00A46488" w:rsidRPr="003978CF" w:rsidRDefault="00A46488" w:rsidP="00A46488">
      <w:pPr>
        <w:tabs>
          <w:tab w:val="clear" w:pos="567"/>
        </w:tabs>
        <w:autoSpaceDE w:val="0"/>
        <w:autoSpaceDN w:val="0"/>
        <w:adjustRightInd w:val="0"/>
        <w:spacing w:line="240" w:lineRule="auto"/>
        <w:rPr>
          <w:color w:val="000000"/>
          <w:szCs w:val="22"/>
          <w:lang w:eastAsia="pl-PL"/>
        </w:rPr>
      </w:pPr>
    </w:p>
    <w:p w14:paraId="19C770B7" w14:textId="77777777" w:rsidR="00A46488" w:rsidRPr="003978CF" w:rsidRDefault="00B452CE" w:rsidP="00A46488">
      <w:pPr>
        <w:numPr>
          <w:ilvl w:val="0"/>
          <w:numId w:val="39"/>
        </w:numPr>
        <w:tabs>
          <w:tab w:val="clear" w:pos="567"/>
        </w:tabs>
        <w:autoSpaceDE w:val="0"/>
        <w:autoSpaceDN w:val="0"/>
        <w:adjustRightInd w:val="0"/>
        <w:spacing w:line="240" w:lineRule="auto"/>
        <w:ind w:left="567" w:hanging="567"/>
        <w:rPr>
          <w:color w:val="000000"/>
          <w:szCs w:val="22"/>
          <w:lang w:eastAsia="pl-PL"/>
        </w:rPr>
      </w:pPr>
      <w:r w:rsidRPr="003978CF">
        <w:rPr>
          <w:color w:val="000000"/>
          <w:lang w:eastAsia="pl-PL"/>
        </w:rPr>
        <w:t>Анамнеза за нестабилна стенокардия, освен по време на острата фаза</w:t>
      </w:r>
      <w:r w:rsidR="00A46488" w:rsidRPr="003978CF">
        <w:rPr>
          <w:color w:val="000000"/>
          <w:szCs w:val="22"/>
          <w:lang w:eastAsia="pl-PL"/>
        </w:rPr>
        <w:t>:</w:t>
      </w:r>
    </w:p>
    <w:p w14:paraId="133BCF49" w14:textId="77777777" w:rsidR="00A46488" w:rsidRPr="00A7264A" w:rsidRDefault="00AC3DB8" w:rsidP="00A46488">
      <w:pPr>
        <w:tabs>
          <w:tab w:val="clear" w:pos="567"/>
        </w:tabs>
        <w:autoSpaceDE w:val="0"/>
        <w:autoSpaceDN w:val="0"/>
        <w:adjustRightInd w:val="0"/>
        <w:spacing w:line="240" w:lineRule="auto"/>
        <w:rPr>
          <w:color w:val="000000"/>
          <w:szCs w:val="22"/>
          <w:lang w:val="ru-RU" w:eastAsia="pl-PL"/>
        </w:rPr>
      </w:pPr>
      <w:r>
        <w:rPr>
          <w:rStyle w:val="hps"/>
        </w:rPr>
        <w:lastRenderedPageBreak/>
        <w:t>Препоръчителната доза е 75 mg до 150 </w:t>
      </w:r>
      <w:r w:rsidR="00B452CE" w:rsidRPr="003978CF">
        <w:rPr>
          <w:rStyle w:val="hps"/>
        </w:rPr>
        <w:t>mg веднъж дневно</w:t>
      </w:r>
      <w:r w:rsidR="00A46488" w:rsidRPr="003978CF">
        <w:rPr>
          <w:color w:val="000000"/>
          <w:szCs w:val="22"/>
          <w:lang w:eastAsia="pl-PL"/>
        </w:rPr>
        <w:t>.</w:t>
      </w:r>
    </w:p>
    <w:p w14:paraId="788BEB34" w14:textId="77777777" w:rsidR="00A46488" w:rsidRPr="003978CF" w:rsidRDefault="00A46488" w:rsidP="00A46488">
      <w:pPr>
        <w:tabs>
          <w:tab w:val="clear" w:pos="567"/>
        </w:tabs>
        <w:autoSpaceDE w:val="0"/>
        <w:autoSpaceDN w:val="0"/>
        <w:adjustRightInd w:val="0"/>
        <w:spacing w:line="240" w:lineRule="auto"/>
        <w:rPr>
          <w:color w:val="000000"/>
          <w:szCs w:val="22"/>
          <w:lang w:eastAsia="pl-PL"/>
        </w:rPr>
      </w:pPr>
    </w:p>
    <w:p w14:paraId="2ACB2B6D" w14:textId="77777777" w:rsidR="00D27263" w:rsidRPr="003978CF" w:rsidRDefault="00B452CE" w:rsidP="00D27263">
      <w:pPr>
        <w:numPr>
          <w:ilvl w:val="0"/>
          <w:numId w:val="38"/>
        </w:numPr>
        <w:tabs>
          <w:tab w:val="clear" w:pos="567"/>
        </w:tabs>
        <w:autoSpaceDE w:val="0"/>
        <w:autoSpaceDN w:val="0"/>
        <w:adjustRightInd w:val="0"/>
        <w:spacing w:after="5" w:line="240" w:lineRule="auto"/>
        <w:ind w:left="567" w:hanging="567"/>
        <w:rPr>
          <w:color w:val="000000"/>
          <w:szCs w:val="22"/>
          <w:lang w:eastAsia="pl-PL"/>
        </w:rPr>
      </w:pPr>
      <w:r w:rsidRPr="003978CF">
        <w:rPr>
          <w:color w:val="000000"/>
          <w:lang w:eastAsia="pl-PL"/>
        </w:rPr>
        <w:t>Вторична профилактика на инфаркт на миокарда</w:t>
      </w:r>
      <w:r w:rsidR="00D27263" w:rsidRPr="003978CF">
        <w:rPr>
          <w:color w:val="000000"/>
          <w:szCs w:val="22"/>
          <w:lang w:eastAsia="pl-PL"/>
        </w:rPr>
        <w:t>:</w:t>
      </w:r>
    </w:p>
    <w:p w14:paraId="4F4DB21D" w14:textId="77777777" w:rsidR="00D27263" w:rsidRPr="003978CF" w:rsidRDefault="00B452CE" w:rsidP="00D27263">
      <w:pPr>
        <w:tabs>
          <w:tab w:val="clear" w:pos="567"/>
        </w:tabs>
        <w:autoSpaceDE w:val="0"/>
        <w:autoSpaceDN w:val="0"/>
        <w:adjustRightInd w:val="0"/>
        <w:spacing w:line="240" w:lineRule="auto"/>
        <w:rPr>
          <w:color w:val="000000"/>
          <w:szCs w:val="22"/>
          <w:lang w:eastAsia="pl-PL"/>
        </w:rPr>
      </w:pPr>
      <w:r w:rsidRPr="003978CF">
        <w:rPr>
          <w:rStyle w:val="hps"/>
        </w:rPr>
        <w:t>Препоръчителната доза е 75 mg до 150 mg веднъж дневно</w:t>
      </w:r>
      <w:r w:rsidR="00D27263" w:rsidRPr="003978CF">
        <w:rPr>
          <w:color w:val="000000"/>
          <w:szCs w:val="22"/>
          <w:lang w:eastAsia="pl-PL"/>
        </w:rPr>
        <w:t>.</w:t>
      </w:r>
    </w:p>
    <w:p w14:paraId="72B6E13E" w14:textId="77777777" w:rsidR="00D551EB" w:rsidRPr="003978CF" w:rsidRDefault="00D551EB" w:rsidP="00D27263">
      <w:pPr>
        <w:tabs>
          <w:tab w:val="clear" w:pos="567"/>
        </w:tabs>
        <w:autoSpaceDE w:val="0"/>
        <w:autoSpaceDN w:val="0"/>
        <w:adjustRightInd w:val="0"/>
        <w:spacing w:line="240" w:lineRule="auto"/>
        <w:rPr>
          <w:color w:val="000000"/>
          <w:szCs w:val="22"/>
          <w:lang w:eastAsia="pl-PL"/>
        </w:rPr>
      </w:pPr>
    </w:p>
    <w:p w14:paraId="6CEBF823" w14:textId="77777777" w:rsidR="00D551EB" w:rsidRPr="003978CF" w:rsidRDefault="00B452CE" w:rsidP="000512BB">
      <w:pPr>
        <w:numPr>
          <w:ilvl w:val="0"/>
          <w:numId w:val="38"/>
        </w:numPr>
        <w:tabs>
          <w:tab w:val="clear" w:pos="567"/>
        </w:tabs>
        <w:autoSpaceDE w:val="0"/>
        <w:autoSpaceDN w:val="0"/>
        <w:adjustRightInd w:val="0"/>
        <w:spacing w:line="240" w:lineRule="auto"/>
        <w:ind w:left="567" w:hanging="567"/>
        <w:rPr>
          <w:color w:val="000000"/>
          <w:szCs w:val="22"/>
          <w:lang w:eastAsia="pl-PL"/>
        </w:rPr>
      </w:pPr>
      <w:r w:rsidRPr="003978CF">
        <w:rPr>
          <w:color w:val="000000"/>
          <w:lang w:eastAsia="pl-PL"/>
        </w:rPr>
        <w:t>Предотвратяване на запушване на присадката след аорто-коронарен байпас (АКБ)</w:t>
      </w:r>
      <w:r w:rsidR="00D551EB" w:rsidRPr="003978CF">
        <w:rPr>
          <w:iCs/>
          <w:color w:val="000000"/>
          <w:szCs w:val="22"/>
          <w:lang w:eastAsia="pl-PL"/>
        </w:rPr>
        <w:t>:</w:t>
      </w:r>
    </w:p>
    <w:p w14:paraId="339B5738" w14:textId="77777777" w:rsidR="00D551EB" w:rsidRPr="003978CF" w:rsidRDefault="00B452CE" w:rsidP="000512BB">
      <w:pPr>
        <w:tabs>
          <w:tab w:val="clear" w:pos="567"/>
        </w:tabs>
        <w:autoSpaceDE w:val="0"/>
        <w:autoSpaceDN w:val="0"/>
        <w:adjustRightInd w:val="0"/>
        <w:spacing w:line="240" w:lineRule="auto"/>
        <w:rPr>
          <w:color w:val="000000"/>
          <w:szCs w:val="22"/>
          <w:lang w:eastAsia="pl-PL"/>
        </w:rPr>
      </w:pPr>
      <w:r w:rsidRPr="003978CF">
        <w:rPr>
          <w:rStyle w:val="hps"/>
        </w:rPr>
        <w:t>Препоръчителната доза е 75 mg до 150 mg веднъж дневно</w:t>
      </w:r>
      <w:r w:rsidR="00D551EB" w:rsidRPr="003978CF">
        <w:rPr>
          <w:color w:val="000000"/>
          <w:szCs w:val="22"/>
          <w:lang w:eastAsia="pl-PL"/>
        </w:rPr>
        <w:t>.</w:t>
      </w:r>
    </w:p>
    <w:p w14:paraId="696DC699" w14:textId="77777777" w:rsidR="00D27263" w:rsidRPr="003978CF" w:rsidRDefault="00D27263" w:rsidP="00A46488">
      <w:pPr>
        <w:tabs>
          <w:tab w:val="clear" w:pos="567"/>
        </w:tabs>
        <w:autoSpaceDE w:val="0"/>
        <w:autoSpaceDN w:val="0"/>
        <w:adjustRightInd w:val="0"/>
        <w:spacing w:line="240" w:lineRule="auto"/>
        <w:rPr>
          <w:color w:val="000000"/>
          <w:szCs w:val="22"/>
          <w:lang w:eastAsia="pl-PL"/>
        </w:rPr>
      </w:pPr>
    </w:p>
    <w:p w14:paraId="3368D1D2" w14:textId="77777777" w:rsidR="00A46488" w:rsidRPr="003978CF" w:rsidRDefault="00B452CE" w:rsidP="00A46488">
      <w:pPr>
        <w:numPr>
          <w:ilvl w:val="0"/>
          <w:numId w:val="39"/>
        </w:numPr>
        <w:tabs>
          <w:tab w:val="clear" w:pos="567"/>
        </w:tabs>
        <w:autoSpaceDE w:val="0"/>
        <w:autoSpaceDN w:val="0"/>
        <w:adjustRightInd w:val="0"/>
        <w:spacing w:line="240" w:lineRule="auto"/>
        <w:ind w:left="567" w:hanging="567"/>
        <w:rPr>
          <w:color w:val="000000"/>
          <w:szCs w:val="22"/>
          <w:lang w:eastAsia="pl-PL"/>
        </w:rPr>
      </w:pPr>
      <w:r w:rsidRPr="003978CF">
        <w:rPr>
          <w:color w:val="000000"/>
          <w:lang w:eastAsia="pl-PL"/>
        </w:rPr>
        <w:t>Коронарна ангиопластика, освен по време на острата фаза</w:t>
      </w:r>
      <w:r w:rsidR="00A46488" w:rsidRPr="003978CF">
        <w:rPr>
          <w:color w:val="000000"/>
          <w:szCs w:val="22"/>
          <w:lang w:eastAsia="pl-PL"/>
        </w:rPr>
        <w:t>:</w:t>
      </w:r>
    </w:p>
    <w:p w14:paraId="574630E4" w14:textId="77777777" w:rsidR="00A46488" w:rsidRPr="003978CF" w:rsidRDefault="00B452CE" w:rsidP="00A46488">
      <w:pPr>
        <w:tabs>
          <w:tab w:val="clear" w:pos="567"/>
        </w:tabs>
        <w:autoSpaceDE w:val="0"/>
        <w:autoSpaceDN w:val="0"/>
        <w:adjustRightInd w:val="0"/>
        <w:spacing w:line="240" w:lineRule="auto"/>
        <w:rPr>
          <w:color w:val="000000"/>
          <w:szCs w:val="22"/>
          <w:lang w:eastAsia="pl-PL"/>
        </w:rPr>
      </w:pPr>
      <w:r w:rsidRPr="003978CF">
        <w:rPr>
          <w:rStyle w:val="hps"/>
        </w:rPr>
        <w:t>Препоръчителната доза е 75 mg до 150 mg веднъж дневно</w:t>
      </w:r>
      <w:r w:rsidR="00A46488" w:rsidRPr="003978CF">
        <w:rPr>
          <w:color w:val="000000"/>
          <w:szCs w:val="22"/>
          <w:lang w:eastAsia="pl-PL"/>
        </w:rPr>
        <w:t>.</w:t>
      </w:r>
    </w:p>
    <w:p w14:paraId="3ACE7F3C" w14:textId="77777777" w:rsidR="00A46488" w:rsidRPr="003978CF" w:rsidRDefault="00A46488" w:rsidP="00A46488">
      <w:pPr>
        <w:tabs>
          <w:tab w:val="clear" w:pos="567"/>
        </w:tabs>
        <w:autoSpaceDE w:val="0"/>
        <w:autoSpaceDN w:val="0"/>
        <w:adjustRightInd w:val="0"/>
        <w:spacing w:line="240" w:lineRule="auto"/>
        <w:rPr>
          <w:color w:val="000000"/>
          <w:szCs w:val="22"/>
          <w:lang w:eastAsia="pl-PL"/>
        </w:rPr>
      </w:pPr>
    </w:p>
    <w:p w14:paraId="1EF3E38F" w14:textId="77777777" w:rsidR="00A46488" w:rsidRPr="003978CF" w:rsidRDefault="00C518A9" w:rsidP="00C518A9">
      <w:pPr>
        <w:pStyle w:val="Tekstkomentarza"/>
        <w:ind w:left="567" w:hanging="567"/>
        <w:rPr>
          <w:lang w:eastAsia="pl-PL"/>
        </w:rPr>
      </w:pPr>
      <w:r w:rsidRPr="003978CF">
        <w:rPr>
          <w:sz w:val="22"/>
          <w:szCs w:val="22"/>
        </w:rPr>
        <w:t>-</w:t>
      </w:r>
      <w:r w:rsidRPr="003978CF">
        <w:rPr>
          <w:sz w:val="22"/>
          <w:szCs w:val="22"/>
        </w:rPr>
        <w:tab/>
      </w:r>
      <w:r w:rsidR="00B452CE" w:rsidRPr="003978CF">
        <w:rPr>
          <w:color w:val="000000"/>
          <w:sz w:val="22"/>
          <w:lang w:eastAsia="pl-PL"/>
        </w:rPr>
        <w:t>Вторична профилактика на преходни исхемични атаки (TIA) и исхемични мозъчно-съдови инциденти (CVA), след като са изключени интрацеребрални кръвоизливи</w:t>
      </w:r>
      <w:r w:rsidR="00A46488" w:rsidRPr="003978CF">
        <w:rPr>
          <w:lang w:eastAsia="pl-PL"/>
        </w:rPr>
        <w:t>:</w:t>
      </w:r>
    </w:p>
    <w:p w14:paraId="0D6DB8B9" w14:textId="7C09188C" w:rsidR="00A46488" w:rsidRPr="003978CF" w:rsidRDefault="00B452CE" w:rsidP="00A46488">
      <w:pPr>
        <w:tabs>
          <w:tab w:val="clear" w:pos="567"/>
        </w:tabs>
        <w:autoSpaceDE w:val="0"/>
        <w:autoSpaceDN w:val="0"/>
        <w:adjustRightInd w:val="0"/>
        <w:spacing w:line="240" w:lineRule="auto"/>
        <w:rPr>
          <w:color w:val="000000"/>
          <w:szCs w:val="22"/>
          <w:lang w:eastAsia="pl-PL"/>
        </w:rPr>
      </w:pPr>
      <w:r w:rsidRPr="003978CF">
        <w:rPr>
          <w:rStyle w:val="hps"/>
        </w:rPr>
        <w:t>Препоръчителната доза е 75 mg до 150 mg веднъж дневно</w:t>
      </w:r>
      <w:r w:rsidR="00A46488" w:rsidRPr="003978CF">
        <w:rPr>
          <w:color w:val="000000"/>
          <w:szCs w:val="22"/>
          <w:lang w:eastAsia="pl-PL"/>
        </w:rPr>
        <w:t>.</w:t>
      </w:r>
    </w:p>
    <w:p w14:paraId="45544788" w14:textId="77777777" w:rsidR="00A46488" w:rsidRPr="003978CF" w:rsidRDefault="00A46488" w:rsidP="00A46488">
      <w:pPr>
        <w:tabs>
          <w:tab w:val="clear" w:pos="567"/>
        </w:tabs>
        <w:autoSpaceDE w:val="0"/>
        <w:autoSpaceDN w:val="0"/>
        <w:adjustRightInd w:val="0"/>
        <w:spacing w:line="240" w:lineRule="auto"/>
        <w:rPr>
          <w:color w:val="000000"/>
          <w:szCs w:val="22"/>
          <w:lang w:eastAsia="pl-PL"/>
        </w:rPr>
      </w:pPr>
    </w:p>
    <w:p w14:paraId="4D48FA55" w14:textId="77777777" w:rsidR="005436A7" w:rsidRPr="003978CF" w:rsidRDefault="00B452CE" w:rsidP="005436A7">
      <w:pPr>
        <w:rPr>
          <w:i/>
          <w:szCs w:val="22"/>
        </w:rPr>
      </w:pPr>
      <w:r w:rsidRPr="003978CF">
        <w:rPr>
          <w:i/>
          <w:szCs w:val="22"/>
        </w:rPr>
        <w:t xml:space="preserve">Пациенти в </w:t>
      </w:r>
      <w:r w:rsidR="00AC3DB8">
        <w:rPr>
          <w:i/>
          <w:szCs w:val="22"/>
        </w:rPr>
        <w:t>старческа</w:t>
      </w:r>
      <w:r w:rsidRPr="003978CF">
        <w:rPr>
          <w:i/>
          <w:szCs w:val="22"/>
        </w:rPr>
        <w:t xml:space="preserve"> възраст</w:t>
      </w:r>
    </w:p>
    <w:p w14:paraId="03B86520" w14:textId="77777777" w:rsidR="00EA0074" w:rsidRPr="003978CF" w:rsidRDefault="00B452CE" w:rsidP="00EA0074">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A</w:t>
      </w:r>
      <w:r w:rsidRPr="003978CF">
        <w:rPr>
          <w:spacing w:val="-5"/>
        </w:rPr>
        <w:t xml:space="preserve">цетилсалициловата киселина трябва да се прилага с повишено внимание при пациенти в </w:t>
      </w:r>
      <w:r w:rsidR="00AC3DB8">
        <w:rPr>
          <w:spacing w:val="-5"/>
        </w:rPr>
        <w:t>старческа</w:t>
      </w:r>
      <w:r w:rsidRPr="003978CF">
        <w:rPr>
          <w:spacing w:val="-5"/>
        </w:rPr>
        <w:t xml:space="preserve"> възраст, които са по-податливи на нежелани реакции</w:t>
      </w:r>
      <w:r w:rsidRPr="003978CF">
        <w:rPr>
          <w:color w:val="000000"/>
          <w:szCs w:val="22"/>
          <w:lang w:eastAsia="pl-PL"/>
        </w:rPr>
        <w:t>. Обичайната доза за възрастни се препоръчва при липса на бъбречно или чернодробно увреждане</w:t>
      </w:r>
      <w:r w:rsidR="00EA0074" w:rsidRPr="003978CF">
        <w:rPr>
          <w:color w:val="000000"/>
          <w:szCs w:val="22"/>
          <w:lang w:eastAsia="pl-PL"/>
        </w:rPr>
        <w:t xml:space="preserve"> (</w:t>
      </w:r>
      <w:r w:rsidRPr="003978CF">
        <w:rPr>
          <w:szCs w:val="22"/>
        </w:rPr>
        <w:t>вж</w:t>
      </w:r>
      <w:r w:rsidR="00420843" w:rsidRPr="003978CF">
        <w:rPr>
          <w:szCs w:val="22"/>
        </w:rPr>
        <w:t>. точки</w:t>
      </w:r>
      <w:r w:rsidRPr="003978CF">
        <w:rPr>
          <w:szCs w:val="22"/>
        </w:rPr>
        <w:t xml:space="preserve"> 4.3 и 4.4</w:t>
      </w:r>
      <w:r w:rsidR="00EA0074" w:rsidRPr="003978CF">
        <w:rPr>
          <w:color w:val="000000"/>
          <w:szCs w:val="22"/>
          <w:lang w:eastAsia="pl-PL"/>
        </w:rPr>
        <w:t>).</w:t>
      </w:r>
      <w:r w:rsidR="00EA0074" w:rsidRPr="003978CF">
        <w:rPr>
          <w:spacing w:val="-5"/>
        </w:rPr>
        <w:t xml:space="preserve"> </w:t>
      </w:r>
      <w:r w:rsidRPr="003978CF">
        <w:rPr>
          <w:spacing w:val="-5"/>
        </w:rPr>
        <w:t>Лечението трябва да се преразглежда на редовни интервали</w:t>
      </w:r>
      <w:r w:rsidR="00EA0074" w:rsidRPr="003978CF">
        <w:rPr>
          <w:color w:val="000000"/>
          <w:szCs w:val="22"/>
          <w:lang w:eastAsia="pl-PL"/>
        </w:rPr>
        <w:t>.</w:t>
      </w:r>
    </w:p>
    <w:p w14:paraId="540C32B9" w14:textId="77777777" w:rsidR="005436A7" w:rsidRPr="003978CF" w:rsidRDefault="005436A7" w:rsidP="005436A7">
      <w:pPr>
        <w:tabs>
          <w:tab w:val="clear" w:pos="567"/>
        </w:tabs>
        <w:autoSpaceDE w:val="0"/>
        <w:autoSpaceDN w:val="0"/>
        <w:adjustRightInd w:val="0"/>
        <w:spacing w:line="240" w:lineRule="auto"/>
        <w:rPr>
          <w:color w:val="000000"/>
          <w:szCs w:val="22"/>
          <w:lang w:eastAsia="pl-PL"/>
        </w:rPr>
      </w:pPr>
    </w:p>
    <w:p w14:paraId="7302C297" w14:textId="77777777" w:rsidR="005436A7" w:rsidRPr="003978CF" w:rsidRDefault="00B452CE" w:rsidP="005436A7">
      <w:pPr>
        <w:tabs>
          <w:tab w:val="clear" w:pos="567"/>
        </w:tabs>
        <w:autoSpaceDE w:val="0"/>
        <w:autoSpaceDN w:val="0"/>
        <w:adjustRightInd w:val="0"/>
        <w:spacing w:line="240" w:lineRule="auto"/>
        <w:rPr>
          <w:i/>
          <w:color w:val="000000"/>
          <w:szCs w:val="22"/>
          <w:lang w:eastAsia="pl-PL"/>
        </w:rPr>
      </w:pPr>
      <w:r w:rsidRPr="003978CF">
        <w:rPr>
          <w:i/>
          <w:szCs w:val="22"/>
        </w:rPr>
        <w:t>Педиатрична популация</w:t>
      </w:r>
    </w:p>
    <w:p w14:paraId="4BEFFD76" w14:textId="77777777" w:rsidR="005436A7" w:rsidRPr="003978CF" w:rsidRDefault="00AC3DB8" w:rsidP="005436A7">
      <w:pPr>
        <w:tabs>
          <w:tab w:val="clear" w:pos="567"/>
        </w:tabs>
        <w:autoSpaceDE w:val="0"/>
        <w:autoSpaceDN w:val="0"/>
        <w:adjustRightInd w:val="0"/>
        <w:spacing w:line="240" w:lineRule="auto"/>
        <w:rPr>
          <w:color w:val="000000"/>
          <w:szCs w:val="22"/>
          <w:lang w:eastAsia="pl-PL"/>
        </w:rPr>
      </w:pPr>
      <w:r>
        <w:rPr>
          <w:rFonts w:eastAsia="TimesNewRomanPS-BoldMT"/>
        </w:rPr>
        <w:t xml:space="preserve">АКАРД </w:t>
      </w:r>
      <w:r w:rsidR="00B452CE" w:rsidRPr="003978CF">
        <w:rPr>
          <w:szCs w:val="22"/>
        </w:rPr>
        <w:t xml:space="preserve">е противопоказан в педиатричната популация под 16-годишна възраст (вж. </w:t>
      </w:r>
      <w:r w:rsidR="00420843" w:rsidRPr="003978CF">
        <w:rPr>
          <w:szCs w:val="22"/>
        </w:rPr>
        <w:t>точки</w:t>
      </w:r>
      <w:r w:rsidR="00B452CE" w:rsidRPr="003978CF">
        <w:rPr>
          <w:szCs w:val="22"/>
        </w:rPr>
        <w:t xml:space="preserve"> </w:t>
      </w:r>
      <w:r w:rsidR="005436A7" w:rsidRPr="003978CF">
        <w:rPr>
          <w:szCs w:val="22"/>
        </w:rPr>
        <w:t xml:space="preserve">4.3 </w:t>
      </w:r>
      <w:r w:rsidR="00B452CE" w:rsidRPr="003978CF">
        <w:rPr>
          <w:szCs w:val="22"/>
        </w:rPr>
        <w:t>и</w:t>
      </w:r>
      <w:r w:rsidR="005436A7" w:rsidRPr="003978CF">
        <w:rPr>
          <w:szCs w:val="22"/>
        </w:rPr>
        <w:t xml:space="preserve"> 4.4).</w:t>
      </w:r>
    </w:p>
    <w:p w14:paraId="50DB7334" w14:textId="77777777" w:rsidR="005436A7" w:rsidRPr="003978CF" w:rsidRDefault="005436A7" w:rsidP="005436A7">
      <w:pPr>
        <w:tabs>
          <w:tab w:val="clear" w:pos="567"/>
        </w:tabs>
        <w:autoSpaceDE w:val="0"/>
        <w:autoSpaceDN w:val="0"/>
        <w:adjustRightInd w:val="0"/>
        <w:spacing w:line="240" w:lineRule="auto"/>
        <w:rPr>
          <w:szCs w:val="22"/>
        </w:rPr>
      </w:pPr>
    </w:p>
    <w:p w14:paraId="0DDF7BD8" w14:textId="77777777" w:rsidR="005436A7" w:rsidRPr="003978CF" w:rsidRDefault="00B452CE" w:rsidP="005436A7">
      <w:pPr>
        <w:rPr>
          <w:i/>
          <w:szCs w:val="22"/>
        </w:rPr>
      </w:pPr>
      <w:r w:rsidRPr="003978CF">
        <w:rPr>
          <w:i/>
          <w:szCs w:val="22"/>
        </w:rPr>
        <w:t>Бъбречно и чернодробно увреждане</w:t>
      </w:r>
    </w:p>
    <w:p w14:paraId="519EBACD" w14:textId="77777777" w:rsidR="005436A7" w:rsidRPr="003978CF" w:rsidRDefault="00AC3DB8" w:rsidP="005436A7">
      <w:pPr>
        <w:tabs>
          <w:tab w:val="clear" w:pos="567"/>
        </w:tabs>
        <w:autoSpaceDE w:val="0"/>
        <w:autoSpaceDN w:val="0"/>
        <w:adjustRightInd w:val="0"/>
        <w:spacing w:line="240" w:lineRule="auto"/>
        <w:rPr>
          <w:szCs w:val="22"/>
        </w:rPr>
      </w:pPr>
      <w:r>
        <w:t xml:space="preserve">АКАРД </w:t>
      </w:r>
      <w:r w:rsidR="00B452CE" w:rsidRPr="003978CF">
        <w:t>трябва да се използва с повишено внимание при пациенти с нарушена бъбречна или чернодробна функция (да се избягва при тежки увреди)</w:t>
      </w:r>
      <w:r w:rsidR="000C18C8" w:rsidRPr="003978CF">
        <w:t>.</w:t>
      </w:r>
      <w:r w:rsidR="00B452CE" w:rsidRPr="003978CF">
        <w:t xml:space="preserve"> Моля,</w:t>
      </w:r>
      <w:r w:rsidR="00446EE9" w:rsidRPr="003978CF">
        <w:t xml:space="preserve"> </w:t>
      </w:r>
      <w:r w:rsidR="00B452CE" w:rsidRPr="003978CF">
        <w:rPr>
          <w:szCs w:val="22"/>
        </w:rPr>
        <w:t xml:space="preserve">вижте </w:t>
      </w:r>
      <w:r w:rsidR="0074292F" w:rsidRPr="003978CF">
        <w:rPr>
          <w:szCs w:val="22"/>
        </w:rPr>
        <w:t>точки</w:t>
      </w:r>
      <w:r w:rsidR="00B452CE" w:rsidRPr="003978CF">
        <w:rPr>
          <w:szCs w:val="22"/>
        </w:rPr>
        <w:t xml:space="preserve"> 4.3 и 4.4</w:t>
      </w:r>
      <w:r w:rsidR="00446EE9" w:rsidRPr="003978CF">
        <w:t>.</w:t>
      </w:r>
    </w:p>
    <w:p w14:paraId="51712031" w14:textId="77777777" w:rsidR="00AC212D" w:rsidRPr="003978CF" w:rsidRDefault="00AC212D" w:rsidP="00A46488">
      <w:pPr>
        <w:rPr>
          <w:u w:val="single"/>
        </w:rPr>
      </w:pPr>
    </w:p>
    <w:p w14:paraId="7BECC9D8" w14:textId="77777777" w:rsidR="00116C8F" w:rsidRPr="003978CF" w:rsidRDefault="003439FE" w:rsidP="00A46488">
      <w:pPr>
        <w:rPr>
          <w:u w:val="single"/>
        </w:rPr>
      </w:pPr>
      <w:r w:rsidRPr="003978CF">
        <w:rPr>
          <w:szCs w:val="22"/>
          <w:u w:val="single"/>
        </w:rPr>
        <w:t>Начин на приложение</w:t>
      </w:r>
    </w:p>
    <w:p w14:paraId="46085FB3" w14:textId="77777777" w:rsidR="003439FE" w:rsidRPr="003978CF" w:rsidRDefault="003439FE" w:rsidP="003439FE">
      <w:pPr>
        <w:tabs>
          <w:tab w:val="clear" w:pos="567"/>
        </w:tabs>
        <w:autoSpaceDE w:val="0"/>
        <w:autoSpaceDN w:val="0"/>
        <w:adjustRightInd w:val="0"/>
        <w:spacing w:line="240" w:lineRule="auto"/>
        <w:jc w:val="both"/>
        <w:rPr>
          <w:color w:val="000000"/>
          <w:szCs w:val="22"/>
          <w:lang w:eastAsia="pl-PL"/>
        </w:rPr>
      </w:pPr>
      <w:r w:rsidRPr="003978CF">
        <w:rPr>
          <w:color w:val="000000"/>
          <w:szCs w:val="22"/>
          <w:lang w:eastAsia="pl-PL"/>
        </w:rPr>
        <w:t>Перорална употреба.</w:t>
      </w:r>
    </w:p>
    <w:p w14:paraId="4A4C3629" w14:textId="77777777" w:rsidR="003439FE" w:rsidRPr="003978CF" w:rsidRDefault="003439FE" w:rsidP="003439FE">
      <w:pPr>
        <w:tabs>
          <w:tab w:val="clear" w:pos="567"/>
        </w:tabs>
        <w:autoSpaceDE w:val="0"/>
        <w:autoSpaceDN w:val="0"/>
        <w:adjustRightInd w:val="0"/>
        <w:spacing w:line="240" w:lineRule="auto"/>
        <w:jc w:val="both"/>
        <w:rPr>
          <w:color w:val="000000"/>
          <w:szCs w:val="22"/>
          <w:lang w:eastAsia="pl-PL"/>
        </w:rPr>
      </w:pPr>
      <w:r w:rsidRPr="003978CF">
        <w:rPr>
          <w:color w:val="000000"/>
          <w:szCs w:val="22"/>
          <w:lang w:eastAsia="pl-PL"/>
        </w:rPr>
        <w:t>Таблетките трябва да се поглъщат цели след хранене с достатъчно</w:t>
      </w:r>
      <w:r w:rsidR="0074292F" w:rsidRPr="003978CF">
        <w:rPr>
          <w:color w:val="000000"/>
          <w:szCs w:val="22"/>
          <w:lang w:eastAsia="pl-PL"/>
        </w:rPr>
        <w:t xml:space="preserve"> </w:t>
      </w:r>
      <w:r w:rsidRPr="003978CF">
        <w:rPr>
          <w:color w:val="000000"/>
          <w:szCs w:val="22"/>
          <w:lang w:eastAsia="pl-PL"/>
        </w:rPr>
        <w:t>течности (1/2 чаша вода).</w:t>
      </w:r>
    </w:p>
    <w:p w14:paraId="68C69E74" w14:textId="77777777" w:rsidR="00116C8F" w:rsidRPr="003978CF" w:rsidRDefault="003439FE" w:rsidP="00116C8F">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Стомашно-устойчивата таблетка има покритие и не се разпада в стомаха, като по този начин намалява дразнещия ефект на ацетилсалициловата киселина върху стомашната лигавица</w:t>
      </w:r>
      <w:r w:rsidR="00116C8F" w:rsidRPr="003978CF">
        <w:rPr>
          <w:color w:val="000000"/>
          <w:szCs w:val="22"/>
          <w:lang w:eastAsia="pl-PL"/>
        </w:rPr>
        <w:t>.</w:t>
      </w:r>
    </w:p>
    <w:p w14:paraId="26B9C6FF" w14:textId="77777777" w:rsidR="00C70E75" w:rsidRPr="003978CF" w:rsidRDefault="00C70E75" w:rsidP="00116C8F">
      <w:pPr>
        <w:tabs>
          <w:tab w:val="clear" w:pos="567"/>
        </w:tabs>
        <w:autoSpaceDE w:val="0"/>
        <w:autoSpaceDN w:val="0"/>
        <w:adjustRightInd w:val="0"/>
        <w:spacing w:line="240" w:lineRule="auto"/>
        <w:rPr>
          <w:color w:val="000000"/>
          <w:szCs w:val="22"/>
          <w:lang w:eastAsia="pl-PL"/>
        </w:rPr>
      </w:pPr>
    </w:p>
    <w:p w14:paraId="4013EBF8" w14:textId="77777777" w:rsidR="001D29E6" w:rsidRPr="003978CF" w:rsidRDefault="001D29E6" w:rsidP="000C1913">
      <w:pPr>
        <w:ind w:left="567" w:hanging="567"/>
      </w:pPr>
      <w:r w:rsidRPr="003978CF">
        <w:rPr>
          <w:b/>
        </w:rPr>
        <w:t>4.3</w:t>
      </w:r>
      <w:r w:rsidRPr="003978CF">
        <w:rPr>
          <w:b/>
        </w:rPr>
        <w:tab/>
      </w:r>
      <w:r w:rsidR="00686DD7" w:rsidRPr="003978CF">
        <w:rPr>
          <w:b/>
          <w:szCs w:val="22"/>
        </w:rPr>
        <w:t>Противопоказания</w:t>
      </w:r>
    </w:p>
    <w:p w14:paraId="57505FEF" w14:textId="77777777" w:rsidR="001D29E6" w:rsidRPr="003978CF" w:rsidRDefault="001D29E6" w:rsidP="000C1913"/>
    <w:p w14:paraId="417D41AB" w14:textId="77777777" w:rsidR="001D29E6" w:rsidRPr="003978CF" w:rsidRDefault="00686DD7" w:rsidP="000C1913">
      <w:r w:rsidRPr="003978CF">
        <w:rPr>
          <w:szCs w:val="22"/>
        </w:rPr>
        <w:t>Свръхчувствителност към активното вещество, други салицилати или към някое от помощните вещества, изброени в точка 6.1</w:t>
      </w:r>
      <w:r w:rsidR="00A46488" w:rsidRPr="003978CF">
        <w:t>.</w:t>
      </w:r>
    </w:p>
    <w:p w14:paraId="7D4D21E5" w14:textId="77777777" w:rsidR="00A46488" w:rsidRPr="003978CF" w:rsidRDefault="00686DD7" w:rsidP="00A46488">
      <w:pPr>
        <w:tabs>
          <w:tab w:val="clear" w:pos="567"/>
        </w:tabs>
        <w:autoSpaceDE w:val="0"/>
        <w:autoSpaceDN w:val="0"/>
        <w:adjustRightInd w:val="0"/>
        <w:spacing w:after="5" w:line="240" w:lineRule="auto"/>
        <w:rPr>
          <w:color w:val="000000"/>
          <w:szCs w:val="22"/>
          <w:lang w:eastAsia="pl-PL"/>
        </w:rPr>
      </w:pPr>
      <w:r w:rsidRPr="003978CF">
        <w:rPr>
          <w:color w:val="000000"/>
          <w:szCs w:val="22"/>
          <w:lang w:eastAsia="pl-PL"/>
        </w:rPr>
        <w:t>Хеморагична диатеза; коагулационни нарушения: хемофилия, тромбоцитопения</w:t>
      </w:r>
      <w:r w:rsidR="007A160B" w:rsidRPr="003978CF">
        <w:rPr>
          <w:bCs/>
          <w:szCs w:val="22"/>
          <w:lang w:eastAsia="lv-LV"/>
        </w:rPr>
        <w:t>.</w:t>
      </w:r>
    </w:p>
    <w:p w14:paraId="131A5A29" w14:textId="77777777" w:rsidR="00A46488" w:rsidRPr="003978CF" w:rsidRDefault="00AC3DB8" w:rsidP="00A46488">
      <w:pPr>
        <w:tabs>
          <w:tab w:val="clear" w:pos="567"/>
        </w:tabs>
        <w:autoSpaceDE w:val="0"/>
        <w:autoSpaceDN w:val="0"/>
        <w:adjustRightInd w:val="0"/>
        <w:spacing w:after="5" w:line="240" w:lineRule="auto"/>
        <w:rPr>
          <w:color w:val="000000"/>
          <w:szCs w:val="22"/>
          <w:lang w:eastAsia="pl-PL"/>
        </w:rPr>
      </w:pPr>
      <w:r>
        <w:rPr>
          <w:color w:val="000000"/>
          <w:szCs w:val="22"/>
          <w:lang w:eastAsia="pl-PL"/>
        </w:rPr>
        <w:t>Активна</w:t>
      </w:r>
      <w:r w:rsidR="00686DD7" w:rsidRPr="003978CF">
        <w:rPr>
          <w:color w:val="000000"/>
          <w:szCs w:val="22"/>
          <w:lang w:eastAsia="pl-PL"/>
        </w:rPr>
        <w:t xml:space="preserve"> или с анамнеза з</w:t>
      </w:r>
      <w:r>
        <w:rPr>
          <w:color w:val="000000"/>
          <w:szCs w:val="22"/>
          <w:lang w:eastAsia="pl-PL"/>
        </w:rPr>
        <w:t>а рецидивираща</w:t>
      </w:r>
      <w:r w:rsidR="0074292F" w:rsidRPr="003978CF">
        <w:rPr>
          <w:color w:val="000000"/>
          <w:szCs w:val="22"/>
          <w:lang w:eastAsia="pl-PL"/>
        </w:rPr>
        <w:t xml:space="preserve"> пептична язва и</w:t>
      </w:r>
      <w:r w:rsidR="00686DD7" w:rsidRPr="003978CF">
        <w:rPr>
          <w:color w:val="000000"/>
          <w:szCs w:val="22"/>
          <w:lang w:eastAsia="pl-PL"/>
        </w:rPr>
        <w:t>/или стомашен/чревен кръвоизлив, или други видове кървене като мозъчно-съдови кръвоизливи</w:t>
      </w:r>
      <w:r w:rsidR="00E553C2" w:rsidRPr="003978CF">
        <w:rPr>
          <w:color w:val="000000"/>
          <w:szCs w:val="22"/>
          <w:lang w:eastAsia="pl-PL"/>
        </w:rPr>
        <w:t>.</w:t>
      </w:r>
    </w:p>
    <w:p w14:paraId="7501960E" w14:textId="77777777" w:rsidR="00A46488" w:rsidRPr="003978CF" w:rsidRDefault="00686DD7" w:rsidP="00A46488">
      <w:pPr>
        <w:tabs>
          <w:tab w:val="clear" w:pos="567"/>
        </w:tabs>
        <w:autoSpaceDE w:val="0"/>
        <w:autoSpaceDN w:val="0"/>
        <w:adjustRightInd w:val="0"/>
        <w:spacing w:after="5" w:line="240" w:lineRule="auto"/>
        <w:rPr>
          <w:color w:val="000000"/>
          <w:szCs w:val="22"/>
          <w:lang w:eastAsia="pl-PL"/>
        </w:rPr>
      </w:pPr>
      <w:r w:rsidRPr="003978CF">
        <w:rPr>
          <w:color w:val="000000"/>
          <w:szCs w:val="22"/>
          <w:lang w:eastAsia="pl-PL"/>
        </w:rPr>
        <w:t>Тежко бъбречно увреждане</w:t>
      </w:r>
      <w:r w:rsidR="00A46488" w:rsidRPr="003978CF">
        <w:rPr>
          <w:color w:val="000000"/>
          <w:szCs w:val="22"/>
          <w:lang w:eastAsia="pl-PL"/>
        </w:rPr>
        <w:t>.</w:t>
      </w:r>
    </w:p>
    <w:p w14:paraId="58E69C02" w14:textId="77777777" w:rsidR="00A46488" w:rsidRPr="003978CF" w:rsidRDefault="00686DD7" w:rsidP="00A46488">
      <w:pPr>
        <w:tabs>
          <w:tab w:val="clear" w:pos="567"/>
        </w:tabs>
        <w:autoSpaceDE w:val="0"/>
        <w:autoSpaceDN w:val="0"/>
        <w:adjustRightInd w:val="0"/>
        <w:spacing w:after="5" w:line="240" w:lineRule="auto"/>
        <w:rPr>
          <w:color w:val="000000"/>
          <w:szCs w:val="22"/>
          <w:lang w:eastAsia="pl-PL"/>
        </w:rPr>
      </w:pPr>
      <w:r w:rsidRPr="003978CF">
        <w:rPr>
          <w:color w:val="000000"/>
          <w:szCs w:val="22"/>
          <w:lang w:eastAsia="pl-PL"/>
        </w:rPr>
        <w:t>Тежко чернодробно увреждане</w:t>
      </w:r>
      <w:r w:rsidR="00E553C2" w:rsidRPr="003978CF">
        <w:rPr>
          <w:color w:val="000000"/>
          <w:szCs w:val="22"/>
          <w:lang w:eastAsia="pl-PL"/>
        </w:rPr>
        <w:t>.</w:t>
      </w:r>
    </w:p>
    <w:p w14:paraId="21FBDB8F" w14:textId="77777777" w:rsidR="00A46488" w:rsidRPr="003978CF" w:rsidRDefault="00686DD7" w:rsidP="00A46488">
      <w:pPr>
        <w:tabs>
          <w:tab w:val="clear" w:pos="567"/>
        </w:tabs>
        <w:autoSpaceDE w:val="0"/>
        <w:autoSpaceDN w:val="0"/>
        <w:adjustRightInd w:val="0"/>
        <w:spacing w:after="5" w:line="240" w:lineRule="auto"/>
        <w:rPr>
          <w:color w:val="000000"/>
          <w:szCs w:val="22"/>
          <w:lang w:eastAsia="pl-PL"/>
        </w:rPr>
      </w:pPr>
      <w:r w:rsidRPr="003978CF">
        <w:rPr>
          <w:color w:val="000000"/>
          <w:szCs w:val="22"/>
          <w:lang w:eastAsia="pl-PL"/>
        </w:rPr>
        <w:t>Тежка сърдечна недостатъчност</w:t>
      </w:r>
      <w:r w:rsidR="00E553C2" w:rsidRPr="003978CF">
        <w:rPr>
          <w:color w:val="000000"/>
          <w:szCs w:val="22"/>
          <w:lang w:eastAsia="pl-PL"/>
        </w:rPr>
        <w:t>.</w:t>
      </w:r>
    </w:p>
    <w:p w14:paraId="5622C6D4" w14:textId="77777777" w:rsidR="00A46488" w:rsidRPr="003978CF" w:rsidRDefault="00686DD7" w:rsidP="00A46488">
      <w:pPr>
        <w:tabs>
          <w:tab w:val="clear" w:pos="567"/>
        </w:tabs>
        <w:autoSpaceDE w:val="0"/>
        <w:autoSpaceDN w:val="0"/>
        <w:adjustRightInd w:val="0"/>
        <w:spacing w:after="5" w:line="240" w:lineRule="auto"/>
        <w:rPr>
          <w:color w:val="000000"/>
          <w:szCs w:val="22"/>
          <w:lang w:eastAsia="pl-PL"/>
        </w:rPr>
      </w:pPr>
      <w:r w:rsidRPr="003978CF">
        <w:rPr>
          <w:color w:val="000000"/>
          <w:szCs w:val="22"/>
          <w:lang w:eastAsia="pl-PL"/>
        </w:rPr>
        <w:t>Анамнеза за аспиринов астматичен пристъп вследствие салицилати или лекарствени продукти с подобно действие, особено нестероидни противовъзпалителни средства (НСПВС)</w:t>
      </w:r>
      <w:r w:rsidR="00101DEA" w:rsidRPr="003978CF">
        <w:rPr>
          <w:color w:val="000000"/>
          <w:szCs w:val="22"/>
          <w:lang w:eastAsia="pl-PL"/>
        </w:rPr>
        <w:t>.</w:t>
      </w:r>
    </w:p>
    <w:p w14:paraId="0F32909B" w14:textId="77777777" w:rsidR="00A46488" w:rsidRPr="003978CF" w:rsidRDefault="005740D6" w:rsidP="00A46488">
      <w:pPr>
        <w:tabs>
          <w:tab w:val="clear" w:pos="567"/>
        </w:tabs>
        <w:autoSpaceDE w:val="0"/>
        <w:autoSpaceDN w:val="0"/>
        <w:adjustRightInd w:val="0"/>
        <w:spacing w:after="5" w:line="240" w:lineRule="auto"/>
        <w:rPr>
          <w:color w:val="000000"/>
          <w:szCs w:val="22"/>
          <w:lang w:eastAsia="pl-PL"/>
        </w:rPr>
      </w:pPr>
      <w:r w:rsidRPr="003978CF">
        <w:rPr>
          <w:color w:val="000000"/>
          <w:szCs w:val="22"/>
          <w:lang w:eastAsia="pl-PL"/>
        </w:rPr>
        <w:t>Едновременната употреба на метотрексат</w:t>
      </w:r>
      <w:r w:rsidR="00A46488" w:rsidRPr="003978CF">
        <w:rPr>
          <w:color w:val="000000"/>
          <w:szCs w:val="22"/>
          <w:lang w:eastAsia="pl-PL"/>
        </w:rPr>
        <w:t xml:space="preserve"> </w:t>
      </w:r>
      <w:r w:rsidR="00686DD7" w:rsidRPr="003978CF">
        <w:rPr>
          <w:color w:val="000000"/>
          <w:szCs w:val="22"/>
          <w:lang w:eastAsia="pl-PL"/>
        </w:rPr>
        <w:t xml:space="preserve">в дози </w:t>
      </w:r>
      <w:r w:rsidRPr="003978CF">
        <w:rPr>
          <w:color w:val="000000"/>
          <w:szCs w:val="22"/>
          <w:lang w:eastAsia="pl-PL"/>
        </w:rPr>
        <w:t>от 15 mg/седмица или по-големи</w:t>
      </w:r>
      <w:r w:rsidR="00686DD7" w:rsidRPr="003978CF">
        <w:rPr>
          <w:color w:val="000000"/>
          <w:szCs w:val="22"/>
          <w:lang w:eastAsia="pl-PL"/>
        </w:rPr>
        <w:t xml:space="preserve"> </w:t>
      </w:r>
      <w:r w:rsidRPr="003978CF">
        <w:rPr>
          <w:color w:val="000000"/>
          <w:szCs w:val="22"/>
          <w:lang w:eastAsia="pl-PL"/>
        </w:rPr>
        <w:t xml:space="preserve">(вж. </w:t>
      </w:r>
      <w:r w:rsidR="00CB2484" w:rsidRPr="003978CF">
        <w:rPr>
          <w:color w:val="000000"/>
          <w:szCs w:val="22"/>
          <w:lang w:eastAsia="pl-PL"/>
        </w:rPr>
        <w:t>точка</w:t>
      </w:r>
      <w:r w:rsidR="00101DEA" w:rsidRPr="003978CF">
        <w:rPr>
          <w:color w:val="000000"/>
          <w:szCs w:val="22"/>
          <w:lang w:eastAsia="pl-PL"/>
        </w:rPr>
        <w:t xml:space="preserve"> 4.5).</w:t>
      </w:r>
    </w:p>
    <w:p w14:paraId="21E238C4" w14:textId="77777777" w:rsidR="00A46488" w:rsidRPr="003978CF" w:rsidRDefault="005740D6" w:rsidP="00A46488">
      <w:pPr>
        <w:tabs>
          <w:tab w:val="clear" w:pos="567"/>
        </w:tabs>
        <w:autoSpaceDE w:val="0"/>
        <w:autoSpaceDN w:val="0"/>
        <w:adjustRightInd w:val="0"/>
        <w:spacing w:after="5" w:line="240" w:lineRule="auto"/>
        <w:rPr>
          <w:color w:val="000000"/>
          <w:szCs w:val="22"/>
          <w:lang w:eastAsia="pl-PL"/>
        </w:rPr>
      </w:pPr>
      <w:r w:rsidRPr="003978CF">
        <w:rPr>
          <w:color w:val="000000"/>
          <w:szCs w:val="22"/>
          <w:lang w:eastAsia="pl-PL"/>
        </w:rPr>
        <w:t>В третия триместър на бременността</w:t>
      </w:r>
      <w:r w:rsidR="00ED7B38" w:rsidRPr="003978CF">
        <w:rPr>
          <w:color w:val="000000"/>
          <w:szCs w:val="22"/>
          <w:lang w:eastAsia="pl-PL"/>
        </w:rPr>
        <w:t>.</w:t>
      </w:r>
    </w:p>
    <w:p w14:paraId="7EA8825A" w14:textId="77777777" w:rsidR="00A46488" w:rsidRPr="003978CF" w:rsidRDefault="005740D6" w:rsidP="00994A45">
      <w:pPr>
        <w:rPr>
          <w:szCs w:val="22"/>
        </w:rPr>
      </w:pPr>
      <w:r w:rsidRPr="003978CF">
        <w:rPr>
          <w:szCs w:val="22"/>
        </w:rPr>
        <w:t>Деца и юноши на възраст под 16 години, поради риск от синдром на Рей</w:t>
      </w:r>
      <w:r w:rsidR="00F70D15" w:rsidRPr="003978CF">
        <w:rPr>
          <w:szCs w:val="22"/>
        </w:rPr>
        <w:t xml:space="preserve"> (</w:t>
      </w:r>
      <w:r w:rsidRPr="003978CF">
        <w:rPr>
          <w:color w:val="000000"/>
          <w:szCs w:val="22"/>
          <w:lang w:eastAsia="pl-PL"/>
        </w:rPr>
        <w:t xml:space="preserve">вж. </w:t>
      </w:r>
      <w:r w:rsidR="00CB2484" w:rsidRPr="003978CF">
        <w:rPr>
          <w:color w:val="000000"/>
          <w:szCs w:val="22"/>
          <w:lang w:eastAsia="pl-PL"/>
        </w:rPr>
        <w:t>точка</w:t>
      </w:r>
      <w:r w:rsidRPr="003978CF">
        <w:rPr>
          <w:color w:val="000000"/>
          <w:szCs w:val="22"/>
          <w:lang w:eastAsia="pl-PL"/>
        </w:rPr>
        <w:t xml:space="preserve"> </w:t>
      </w:r>
      <w:r w:rsidR="00F70D15" w:rsidRPr="003978CF">
        <w:rPr>
          <w:szCs w:val="22"/>
        </w:rPr>
        <w:t>4.4.)</w:t>
      </w:r>
      <w:r w:rsidR="00994A45" w:rsidRPr="003978CF">
        <w:rPr>
          <w:szCs w:val="22"/>
        </w:rPr>
        <w:t>.</w:t>
      </w:r>
    </w:p>
    <w:p w14:paraId="219DBE05" w14:textId="77777777" w:rsidR="001D29E6" w:rsidRPr="003978CF" w:rsidRDefault="001D29E6" w:rsidP="000C1913"/>
    <w:p w14:paraId="3B8F7B17" w14:textId="77777777" w:rsidR="001D29E6" w:rsidRPr="003978CF" w:rsidRDefault="001D29E6" w:rsidP="000C1913">
      <w:pPr>
        <w:ind w:left="567" w:hanging="567"/>
        <w:rPr>
          <w:b/>
        </w:rPr>
      </w:pPr>
      <w:r w:rsidRPr="003978CF">
        <w:rPr>
          <w:b/>
        </w:rPr>
        <w:t>4.4</w:t>
      </w:r>
      <w:r w:rsidRPr="003978CF">
        <w:rPr>
          <w:b/>
        </w:rPr>
        <w:tab/>
      </w:r>
      <w:r w:rsidR="004B71A6" w:rsidRPr="003978CF">
        <w:rPr>
          <w:b/>
          <w:szCs w:val="22"/>
        </w:rPr>
        <w:t>Специални предупреждения и предпазни мерки при употреба</w:t>
      </w:r>
    </w:p>
    <w:p w14:paraId="0A7200D1" w14:textId="77777777" w:rsidR="00C53ACC" w:rsidRPr="003978CF" w:rsidRDefault="00C53ACC" w:rsidP="000C1913">
      <w:pPr>
        <w:ind w:left="567" w:hanging="567"/>
      </w:pPr>
    </w:p>
    <w:p w14:paraId="52961523" w14:textId="77777777" w:rsidR="00D600C1" w:rsidRPr="007E1076" w:rsidRDefault="00AC3DB8" w:rsidP="00D600C1">
      <w:pPr>
        <w:tabs>
          <w:tab w:val="clear" w:pos="567"/>
        </w:tabs>
        <w:autoSpaceDE w:val="0"/>
        <w:autoSpaceDN w:val="0"/>
        <w:adjustRightInd w:val="0"/>
        <w:spacing w:line="240" w:lineRule="auto"/>
        <w:rPr>
          <w:color w:val="000000"/>
          <w:szCs w:val="22"/>
          <w:lang w:eastAsia="pl-PL"/>
        </w:rPr>
      </w:pPr>
      <w:r>
        <w:rPr>
          <w:rFonts w:ascii="TimesNewRoman" w:hAnsi="TimesNewRoman" w:cs="TimesNewRoman"/>
          <w:szCs w:val="22"/>
          <w:lang w:eastAsia="lv-LV"/>
        </w:rPr>
        <w:t>А</w:t>
      </w:r>
      <w:r w:rsidR="00A7264A">
        <w:rPr>
          <w:rFonts w:ascii="TimesNewRoman" w:hAnsi="TimesNewRoman" w:cs="TimesNewRoman"/>
          <w:szCs w:val="22"/>
          <w:lang w:eastAsia="lv-LV"/>
        </w:rPr>
        <w:t>кард</w:t>
      </w:r>
      <w:r>
        <w:rPr>
          <w:rFonts w:ascii="TimesNewRoman" w:hAnsi="TimesNewRoman" w:cs="TimesNewRoman"/>
          <w:szCs w:val="22"/>
          <w:lang w:eastAsia="lv-LV"/>
        </w:rPr>
        <w:t xml:space="preserve"> </w:t>
      </w:r>
      <w:r w:rsidR="005B3044" w:rsidRPr="003978CF">
        <w:rPr>
          <w:rFonts w:ascii="TimesNewRoman" w:hAnsi="TimesNewRoman" w:cs="TimesNewRoman"/>
          <w:szCs w:val="22"/>
          <w:lang w:eastAsia="lv-LV"/>
        </w:rPr>
        <w:t>не е подходящ за употреба като противовъзпалително средство/аналгетик/антипиретик</w:t>
      </w:r>
      <w:r w:rsidR="005B3044" w:rsidRPr="003978CF">
        <w:rPr>
          <w:rFonts w:ascii="Calibri" w:hAnsi="Calibri" w:cs="TimesNewRoman"/>
          <w:szCs w:val="22"/>
          <w:lang w:eastAsia="lv-LV"/>
        </w:rPr>
        <w:t>.</w:t>
      </w:r>
    </w:p>
    <w:p w14:paraId="62B5B6EE" w14:textId="77777777" w:rsidR="00894631" w:rsidRPr="003978CF" w:rsidRDefault="00894631" w:rsidP="00D600C1">
      <w:pPr>
        <w:tabs>
          <w:tab w:val="clear" w:pos="567"/>
        </w:tabs>
        <w:autoSpaceDE w:val="0"/>
        <w:autoSpaceDN w:val="0"/>
        <w:adjustRightInd w:val="0"/>
        <w:spacing w:line="240" w:lineRule="auto"/>
        <w:rPr>
          <w:color w:val="000000"/>
          <w:szCs w:val="22"/>
          <w:lang w:eastAsia="pl-PL"/>
        </w:rPr>
      </w:pPr>
    </w:p>
    <w:p w14:paraId="7037B2C8" w14:textId="77777777" w:rsidR="00101DEA" w:rsidRPr="003978CF" w:rsidRDefault="005B3044" w:rsidP="00D600C1">
      <w:pPr>
        <w:tabs>
          <w:tab w:val="clear" w:pos="567"/>
        </w:tabs>
        <w:autoSpaceDE w:val="0"/>
        <w:autoSpaceDN w:val="0"/>
        <w:adjustRightInd w:val="0"/>
        <w:spacing w:line="240" w:lineRule="auto"/>
        <w:rPr>
          <w:color w:val="000000"/>
          <w:szCs w:val="22"/>
          <w:lang w:eastAsia="pl-PL"/>
        </w:rPr>
      </w:pPr>
      <w:r w:rsidRPr="003978CF">
        <w:lastRenderedPageBreak/>
        <w:t xml:space="preserve">Ацетилсалициловата киселина трябва да се използва с повишено внимание при пациенти с </w:t>
      </w:r>
      <w:r w:rsidRPr="003978CF">
        <w:rPr>
          <w:color w:val="000000"/>
          <w:szCs w:val="22"/>
          <w:lang w:eastAsia="pl-PL"/>
        </w:rPr>
        <w:t>дефицит на глюкозо-6-фосфат дехидрогеназа</w:t>
      </w:r>
      <w:r w:rsidR="00D600C1" w:rsidRPr="003978CF">
        <w:rPr>
          <w:color w:val="000000"/>
          <w:szCs w:val="22"/>
          <w:lang w:eastAsia="pl-PL"/>
        </w:rPr>
        <w:t xml:space="preserve">, </w:t>
      </w:r>
      <w:r w:rsidRPr="003978CF">
        <w:rPr>
          <w:color w:val="000000"/>
          <w:szCs w:val="22"/>
          <w:lang w:eastAsia="pl-PL"/>
        </w:rPr>
        <w:t>защото може да възникне хемолитична анемия</w:t>
      </w:r>
      <w:r w:rsidR="00101DEA" w:rsidRPr="003978CF">
        <w:rPr>
          <w:color w:val="000000"/>
          <w:szCs w:val="22"/>
          <w:lang w:eastAsia="pl-PL"/>
        </w:rPr>
        <w:t>.</w:t>
      </w:r>
    </w:p>
    <w:p w14:paraId="23D29932" w14:textId="77777777" w:rsidR="00101DEA" w:rsidRPr="003978CF" w:rsidRDefault="00101DEA" w:rsidP="00101DEA">
      <w:pPr>
        <w:tabs>
          <w:tab w:val="clear" w:pos="567"/>
        </w:tabs>
        <w:autoSpaceDE w:val="0"/>
        <w:autoSpaceDN w:val="0"/>
        <w:adjustRightInd w:val="0"/>
        <w:spacing w:line="240" w:lineRule="auto"/>
        <w:rPr>
          <w:color w:val="000000"/>
          <w:szCs w:val="22"/>
          <w:lang w:eastAsia="pl-PL"/>
        </w:rPr>
      </w:pPr>
    </w:p>
    <w:p w14:paraId="614BD46D" w14:textId="77777777" w:rsidR="00B27FFA" w:rsidRPr="003978CF" w:rsidRDefault="005B3044" w:rsidP="00101DEA">
      <w:pPr>
        <w:tabs>
          <w:tab w:val="clear" w:pos="567"/>
        </w:tabs>
        <w:autoSpaceDE w:val="0"/>
        <w:autoSpaceDN w:val="0"/>
        <w:adjustRightInd w:val="0"/>
        <w:spacing w:line="240" w:lineRule="auto"/>
        <w:rPr>
          <w:color w:val="000000"/>
          <w:szCs w:val="22"/>
          <w:lang w:eastAsia="pl-PL"/>
        </w:rPr>
      </w:pPr>
      <w:r w:rsidRPr="003978CF">
        <w:t xml:space="preserve">Ацетилсалициловата киселина може да се използва при пациенти със </w:t>
      </w:r>
      <w:r w:rsidRPr="003978CF">
        <w:rPr>
          <w:color w:val="000000"/>
          <w:szCs w:val="22"/>
          <w:lang w:eastAsia="pl-PL"/>
        </w:rPr>
        <w:t>свръхчувствителност към нестероидни противовъзпалителни средства само след внимателна оценка на баланса между рискове и ползи</w:t>
      </w:r>
      <w:r w:rsidR="00101DEA" w:rsidRPr="003978CF">
        <w:rPr>
          <w:color w:val="000000"/>
          <w:szCs w:val="22"/>
          <w:lang w:eastAsia="pl-PL"/>
        </w:rPr>
        <w:t>.</w:t>
      </w:r>
    </w:p>
    <w:p w14:paraId="35213B74" w14:textId="77777777" w:rsidR="00101DEA" w:rsidRPr="003978CF" w:rsidRDefault="00101DEA" w:rsidP="00101DEA">
      <w:pPr>
        <w:tabs>
          <w:tab w:val="clear" w:pos="567"/>
        </w:tabs>
        <w:autoSpaceDE w:val="0"/>
        <w:autoSpaceDN w:val="0"/>
        <w:adjustRightInd w:val="0"/>
        <w:spacing w:line="240" w:lineRule="auto"/>
        <w:rPr>
          <w:color w:val="000000"/>
          <w:szCs w:val="22"/>
          <w:lang w:eastAsia="pl-PL"/>
        </w:rPr>
      </w:pPr>
    </w:p>
    <w:p w14:paraId="56F2B385" w14:textId="77777777" w:rsidR="00101DEA" w:rsidRPr="003978CF" w:rsidRDefault="005B3044" w:rsidP="00101DEA">
      <w:pPr>
        <w:rPr>
          <w:color w:val="000000"/>
          <w:szCs w:val="22"/>
          <w:lang w:eastAsia="pl-PL"/>
        </w:rPr>
      </w:pPr>
      <w:r w:rsidRPr="003978CF">
        <w:rPr>
          <w:color w:val="000000"/>
          <w:szCs w:val="22"/>
          <w:lang w:eastAsia="pl-PL"/>
        </w:rPr>
        <w:t>Ацетилсалициловата киселина може да предизвика бронхоспазъм и астматични пристъпи или други реакции на свръхчувствителност. Рисковите фактори включват: съществуваща астма, хронични респираторни заболявания, сенна хрема с носни полипи. Същото се отнася и за пациенти, които показват алергична реакция и към други вещества (например с кожни реакции, сърбеж или уртикария)</w:t>
      </w:r>
      <w:r w:rsidR="00101DEA" w:rsidRPr="003978CF">
        <w:rPr>
          <w:color w:val="000000"/>
          <w:szCs w:val="22"/>
          <w:lang w:eastAsia="pl-PL"/>
        </w:rPr>
        <w:t>.</w:t>
      </w:r>
    </w:p>
    <w:p w14:paraId="37DDE21D" w14:textId="77777777" w:rsidR="00101DEA" w:rsidRPr="003978CF" w:rsidRDefault="00101DEA" w:rsidP="00101DEA">
      <w:pPr>
        <w:tabs>
          <w:tab w:val="clear" w:pos="567"/>
        </w:tabs>
        <w:autoSpaceDE w:val="0"/>
        <w:autoSpaceDN w:val="0"/>
        <w:adjustRightInd w:val="0"/>
        <w:spacing w:line="240" w:lineRule="auto"/>
        <w:rPr>
          <w:color w:val="000000"/>
          <w:szCs w:val="22"/>
          <w:lang w:eastAsia="pl-PL"/>
        </w:rPr>
      </w:pPr>
    </w:p>
    <w:p w14:paraId="5638427C" w14:textId="03FF9F22" w:rsidR="00180ADD" w:rsidRPr="003978CF" w:rsidRDefault="00124003" w:rsidP="00180ADD">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 xml:space="preserve">Препоръчва се повишено внимание при пациенти, приемащи едновременно лекарства, които могат да повишат риска от язва или кървене, като перорални кортикостероиди, антикоагуланти като варфарин, селективни инхибитори на обратното захващане на серотонина (вж. </w:t>
      </w:r>
      <w:r w:rsidR="00A15B6D" w:rsidRPr="003978CF">
        <w:rPr>
          <w:color w:val="000000"/>
          <w:szCs w:val="22"/>
          <w:lang w:eastAsia="pl-PL"/>
        </w:rPr>
        <w:t>точка</w:t>
      </w:r>
      <w:r w:rsidRPr="003978CF">
        <w:rPr>
          <w:color w:val="000000"/>
          <w:szCs w:val="22"/>
          <w:lang w:eastAsia="pl-PL"/>
        </w:rPr>
        <w:t xml:space="preserve"> 4.5), както и при пациенти с повишена склонност към кървене (напр. с дефицит на витамин K)</w:t>
      </w:r>
      <w:r w:rsidR="00180ADD" w:rsidRPr="003978CF">
        <w:rPr>
          <w:color w:val="000000"/>
          <w:szCs w:val="22"/>
          <w:lang w:eastAsia="pl-PL"/>
        </w:rPr>
        <w:t>.</w:t>
      </w:r>
    </w:p>
    <w:p w14:paraId="475B619E" w14:textId="77777777" w:rsidR="00101DEA" w:rsidRPr="003978CF" w:rsidRDefault="00101DEA" w:rsidP="00101DEA">
      <w:pPr>
        <w:tabs>
          <w:tab w:val="clear" w:pos="567"/>
        </w:tabs>
        <w:autoSpaceDE w:val="0"/>
        <w:autoSpaceDN w:val="0"/>
        <w:adjustRightInd w:val="0"/>
        <w:spacing w:line="240" w:lineRule="auto"/>
        <w:rPr>
          <w:color w:val="000000"/>
          <w:szCs w:val="22"/>
          <w:lang w:eastAsia="pl-PL"/>
        </w:rPr>
      </w:pPr>
    </w:p>
    <w:p w14:paraId="17BCCAAF" w14:textId="77777777" w:rsidR="00101DEA" w:rsidRPr="003978CF" w:rsidRDefault="00124003" w:rsidP="00101DEA">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 xml:space="preserve">Ацетилсалициловата киселина трябва да се прилага с повишено внимание при пациенти с нарушена бъбречна или чернодробна функция, като е противопоказана при пациенти с тежко увредена бъбречна или чернодробна функция (вж. </w:t>
      </w:r>
      <w:r w:rsidR="00A15B6D" w:rsidRPr="003978CF">
        <w:rPr>
          <w:color w:val="000000"/>
          <w:szCs w:val="22"/>
          <w:lang w:eastAsia="pl-PL"/>
        </w:rPr>
        <w:t xml:space="preserve">точка </w:t>
      </w:r>
      <w:r w:rsidRPr="003978CF">
        <w:rPr>
          <w:color w:val="000000"/>
          <w:szCs w:val="22"/>
          <w:lang w:eastAsia="pl-PL"/>
        </w:rPr>
        <w:t>4.3</w:t>
      </w:r>
      <w:r w:rsidR="00030314" w:rsidRPr="003978CF">
        <w:rPr>
          <w:color w:val="000000"/>
          <w:szCs w:val="22"/>
          <w:lang w:eastAsia="pl-PL"/>
        </w:rPr>
        <w:t>)</w:t>
      </w:r>
      <w:r w:rsidR="00101DEA" w:rsidRPr="003978CF">
        <w:rPr>
          <w:color w:val="000000"/>
          <w:szCs w:val="22"/>
          <w:lang w:eastAsia="pl-PL"/>
        </w:rPr>
        <w:t>.</w:t>
      </w:r>
    </w:p>
    <w:p w14:paraId="40B85EB6" w14:textId="77777777" w:rsidR="00101DEA" w:rsidRPr="003978CF" w:rsidRDefault="00101DEA" w:rsidP="00101DEA">
      <w:pPr>
        <w:tabs>
          <w:tab w:val="clear" w:pos="567"/>
        </w:tabs>
        <w:autoSpaceDE w:val="0"/>
        <w:autoSpaceDN w:val="0"/>
        <w:adjustRightInd w:val="0"/>
        <w:spacing w:line="240" w:lineRule="auto"/>
        <w:rPr>
          <w:color w:val="000000"/>
          <w:szCs w:val="22"/>
          <w:lang w:eastAsia="pl-PL"/>
        </w:rPr>
      </w:pPr>
    </w:p>
    <w:p w14:paraId="7C163C5D" w14:textId="77777777" w:rsidR="00101DEA" w:rsidRPr="003978CF" w:rsidRDefault="00124003" w:rsidP="00101DEA">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Ацетилсалициловата киселина трябва да се прилага с повишено внимание при пациенти с анамнеза за стомашна или дуоденална язва, защото може да възобнови язвената болест и да предизвика кървене от стомашно-чревния тракт</w:t>
      </w:r>
      <w:r w:rsidR="00101DEA" w:rsidRPr="003978CF">
        <w:rPr>
          <w:color w:val="000000"/>
          <w:szCs w:val="22"/>
          <w:lang w:eastAsia="pl-PL"/>
        </w:rPr>
        <w:t>.</w:t>
      </w:r>
    </w:p>
    <w:p w14:paraId="7C16AA3A" w14:textId="77777777" w:rsidR="00A37103" w:rsidRPr="003978CF" w:rsidRDefault="00A37103" w:rsidP="009F3449">
      <w:pPr>
        <w:rPr>
          <w:color w:val="000000"/>
          <w:szCs w:val="22"/>
          <w:lang w:eastAsia="pl-PL"/>
        </w:rPr>
      </w:pPr>
    </w:p>
    <w:p w14:paraId="0C8D6963" w14:textId="77777777" w:rsidR="009F3449" w:rsidRPr="003978CF" w:rsidRDefault="00C05336" w:rsidP="009F3449">
      <w:pPr>
        <w:rPr>
          <w:color w:val="000000"/>
          <w:szCs w:val="22"/>
          <w:lang w:eastAsia="pl-PL"/>
        </w:rPr>
      </w:pPr>
      <w:r w:rsidRPr="003978CF">
        <w:rPr>
          <w:color w:val="000000"/>
          <w:szCs w:val="22"/>
          <w:lang w:eastAsia="pl-PL"/>
        </w:rPr>
        <w:t>Пациентите с анамнеза за стомашно-чревна токсичност, особено тези в напреднала възраст, трябва да съобщават за всички необичайни коремни симптоми (специално за стомашно-чревно кървене), особено в началните етапи на лечението</w:t>
      </w:r>
      <w:r w:rsidR="009F3449" w:rsidRPr="003978CF">
        <w:rPr>
          <w:color w:val="000000"/>
          <w:szCs w:val="22"/>
          <w:lang w:eastAsia="pl-PL"/>
        </w:rPr>
        <w:t xml:space="preserve">. </w:t>
      </w:r>
    </w:p>
    <w:p w14:paraId="2810A740" w14:textId="77777777" w:rsidR="00180ADD" w:rsidRPr="003978CF" w:rsidRDefault="00180ADD" w:rsidP="009F3449">
      <w:pPr>
        <w:rPr>
          <w:color w:val="000000"/>
          <w:szCs w:val="22"/>
          <w:lang w:eastAsia="pl-PL"/>
        </w:rPr>
      </w:pPr>
    </w:p>
    <w:p w14:paraId="21ED0324" w14:textId="77777777" w:rsidR="00676505" w:rsidRPr="003978CF" w:rsidRDefault="00C05336" w:rsidP="00676505">
      <w:pPr>
        <w:rPr>
          <w:color w:val="000000"/>
          <w:szCs w:val="22"/>
          <w:lang w:eastAsia="pl-PL"/>
        </w:rPr>
      </w:pPr>
      <w:r w:rsidRPr="003978CF">
        <w:rPr>
          <w:color w:val="000000"/>
          <w:szCs w:val="22"/>
          <w:lang w:eastAsia="pl-PL"/>
        </w:rPr>
        <w:t>Когато се появят стомашно-чревно кървене или язва, лечението трябва да бъде прекратено</w:t>
      </w:r>
      <w:r w:rsidR="00676505" w:rsidRPr="003978CF">
        <w:rPr>
          <w:color w:val="000000"/>
          <w:szCs w:val="22"/>
          <w:lang w:eastAsia="pl-PL"/>
        </w:rPr>
        <w:t>.</w:t>
      </w:r>
    </w:p>
    <w:p w14:paraId="1C9E3B18" w14:textId="77777777" w:rsidR="00676505" w:rsidRPr="003978CF" w:rsidRDefault="00676505" w:rsidP="00101DEA">
      <w:pPr>
        <w:rPr>
          <w:color w:val="000000"/>
          <w:szCs w:val="22"/>
          <w:lang w:eastAsia="pl-PL"/>
        </w:rPr>
      </w:pPr>
    </w:p>
    <w:p w14:paraId="7D4DD857" w14:textId="77777777" w:rsidR="00101DEA" w:rsidRPr="003978CF" w:rsidRDefault="003978CF" w:rsidP="00101DEA">
      <w:pPr>
        <w:rPr>
          <w:color w:val="000000"/>
          <w:szCs w:val="22"/>
          <w:lang w:eastAsia="pl-PL"/>
        </w:rPr>
      </w:pPr>
      <w:r w:rsidRPr="003978CF">
        <w:rPr>
          <w:color w:val="000000"/>
          <w:szCs w:val="22"/>
          <w:lang w:eastAsia="pl-PL"/>
        </w:rPr>
        <w:t xml:space="preserve">Поради антитромбоцитната й активност, ацетилсалициловата киселина може да доведе до удължено време на кървене по време на или след хирургична интервенция (включително при малки процедури, като например изваждане на зъб). </w:t>
      </w:r>
      <w:r w:rsidR="00C05336" w:rsidRPr="003978CF">
        <w:rPr>
          <w:color w:val="000000"/>
          <w:szCs w:val="22"/>
          <w:lang w:eastAsia="pl-PL"/>
        </w:rPr>
        <w:t>Ацетилсалициловата киселина не трябва да се прилага в продължение на 5 дни преди планова операция, особено на очи и на уши</w:t>
      </w:r>
      <w:r w:rsidR="00101DEA" w:rsidRPr="003978CF">
        <w:rPr>
          <w:color w:val="000000"/>
          <w:szCs w:val="22"/>
          <w:lang w:eastAsia="pl-PL"/>
        </w:rPr>
        <w:t>.</w:t>
      </w:r>
    </w:p>
    <w:p w14:paraId="2E716C88" w14:textId="77777777" w:rsidR="00FF647B" w:rsidRPr="003978CF" w:rsidRDefault="00FF647B" w:rsidP="00101DEA">
      <w:pPr>
        <w:rPr>
          <w:rFonts w:ascii="TimesNewRoman" w:hAnsi="TimesNewRoman" w:cs="TimesNewRoman"/>
          <w:sz w:val="21"/>
          <w:szCs w:val="21"/>
          <w:lang w:eastAsia="lv-LV"/>
        </w:rPr>
      </w:pPr>
    </w:p>
    <w:p w14:paraId="505D58AD" w14:textId="77777777" w:rsidR="00101DEA" w:rsidRPr="003978CF" w:rsidRDefault="00AC3DB8" w:rsidP="00101DEA">
      <w:pPr>
        <w:rPr>
          <w:szCs w:val="22"/>
        </w:rPr>
      </w:pPr>
      <w:r>
        <w:rPr>
          <w:rFonts w:ascii="TimesNewRoman" w:hAnsi="TimesNewRoman" w:cs="TimesNewRoman"/>
          <w:szCs w:val="22"/>
          <w:lang w:eastAsia="lv-LV"/>
        </w:rPr>
        <w:t xml:space="preserve">АКАРД </w:t>
      </w:r>
      <w:r w:rsidR="00E819D7" w:rsidRPr="003978CF">
        <w:rPr>
          <w:rFonts w:ascii="TimesNewRoman" w:hAnsi="TimesNewRoman" w:cs="TimesNewRoman"/>
          <w:szCs w:val="22"/>
          <w:lang w:eastAsia="lv-LV"/>
        </w:rPr>
        <w:t>не се препоръчва по време на менорагия, когато може да увеличи менструално кървене</w:t>
      </w:r>
      <w:r w:rsidR="0094365F" w:rsidRPr="003978CF">
        <w:rPr>
          <w:rFonts w:ascii="TimesNewRoman" w:hAnsi="TimesNewRoman" w:cs="TimesNewRoman"/>
          <w:szCs w:val="22"/>
          <w:lang w:eastAsia="lv-LV"/>
        </w:rPr>
        <w:t>.</w:t>
      </w:r>
    </w:p>
    <w:p w14:paraId="281FB253" w14:textId="77777777" w:rsidR="00FF647B" w:rsidRPr="003978CF" w:rsidRDefault="00FF647B" w:rsidP="00101DEA">
      <w:pPr>
        <w:tabs>
          <w:tab w:val="clear" w:pos="567"/>
        </w:tabs>
        <w:autoSpaceDE w:val="0"/>
        <w:autoSpaceDN w:val="0"/>
        <w:adjustRightInd w:val="0"/>
        <w:spacing w:line="240" w:lineRule="auto"/>
        <w:rPr>
          <w:color w:val="000000"/>
          <w:szCs w:val="22"/>
          <w:lang w:eastAsia="pl-PL"/>
        </w:rPr>
      </w:pPr>
    </w:p>
    <w:p w14:paraId="6308ECF2" w14:textId="77777777" w:rsidR="00101DEA" w:rsidRPr="003978CF" w:rsidRDefault="00152D5D" w:rsidP="00101DEA">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Дори в ниски доз</w:t>
      </w:r>
      <w:r w:rsidR="00AB1EFD" w:rsidRPr="003978CF">
        <w:rPr>
          <w:color w:val="000000"/>
          <w:szCs w:val="22"/>
          <w:lang w:eastAsia="pl-PL"/>
        </w:rPr>
        <w:t xml:space="preserve">и, ацетилсалициловата киселина </w:t>
      </w:r>
      <w:r w:rsidRPr="003978CF">
        <w:rPr>
          <w:color w:val="000000"/>
          <w:szCs w:val="22"/>
          <w:lang w:eastAsia="pl-PL"/>
        </w:rPr>
        <w:t xml:space="preserve">намалява отделянето на пикочна киселина. Поради този факт, пациенти със </w:t>
      </w:r>
      <w:r w:rsidR="003978CF" w:rsidRPr="003978CF">
        <w:rPr>
          <w:color w:val="000000"/>
          <w:szCs w:val="22"/>
          <w:lang w:eastAsia="pl-PL"/>
        </w:rPr>
        <w:t>склонност</w:t>
      </w:r>
      <w:r w:rsidRPr="003978CF">
        <w:rPr>
          <w:color w:val="000000"/>
          <w:szCs w:val="22"/>
          <w:lang w:eastAsia="pl-PL"/>
        </w:rPr>
        <w:t xml:space="preserve"> към намалена екскреция на пикочна киселина, могат да получат подагрозен пристъп</w:t>
      </w:r>
      <w:r w:rsidR="00101DEA" w:rsidRPr="003978CF">
        <w:rPr>
          <w:color w:val="000000"/>
          <w:szCs w:val="22"/>
          <w:lang w:eastAsia="pl-PL"/>
        </w:rPr>
        <w:t>.</w:t>
      </w:r>
    </w:p>
    <w:p w14:paraId="6876F51A" w14:textId="77777777" w:rsidR="00101DEA" w:rsidRPr="003978CF" w:rsidRDefault="00101DEA" w:rsidP="00101DEA">
      <w:pPr>
        <w:tabs>
          <w:tab w:val="clear" w:pos="567"/>
        </w:tabs>
        <w:autoSpaceDE w:val="0"/>
        <w:autoSpaceDN w:val="0"/>
        <w:adjustRightInd w:val="0"/>
        <w:spacing w:line="240" w:lineRule="auto"/>
        <w:rPr>
          <w:color w:val="000000"/>
          <w:szCs w:val="22"/>
          <w:lang w:eastAsia="pl-PL"/>
        </w:rPr>
      </w:pPr>
    </w:p>
    <w:p w14:paraId="36A5C395" w14:textId="77777777" w:rsidR="00101DEA" w:rsidRPr="003978CF" w:rsidRDefault="00A50022" w:rsidP="00101DEA">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 xml:space="preserve">Пациентите в </w:t>
      </w:r>
      <w:r w:rsidR="00D83639">
        <w:rPr>
          <w:color w:val="000000"/>
          <w:szCs w:val="22"/>
          <w:lang w:eastAsia="pl-PL"/>
        </w:rPr>
        <w:t>старческа</w:t>
      </w:r>
      <w:r w:rsidRPr="003978CF">
        <w:rPr>
          <w:color w:val="000000"/>
          <w:szCs w:val="22"/>
          <w:lang w:eastAsia="pl-PL"/>
        </w:rPr>
        <w:t xml:space="preserve"> възраст са особено податливи на неблагоприятните ефекти на НСПВС, включително ацетилсалицилова киселина, като особено стомашно-чревното кървене и перфорацията могат да бъдат фатални. Непрекъсната продължителна употреба на аспирин трябва да се избягва в </w:t>
      </w:r>
      <w:r w:rsidR="00D83639">
        <w:rPr>
          <w:color w:val="000000"/>
          <w:szCs w:val="22"/>
          <w:lang w:eastAsia="pl-PL"/>
        </w:rPr>
        <w:t>старческа</w:t>
      </w:r>
      <w:r w:rsidRPr="003978CF">
        <w:rPr>
          <w:color w:val="000000"/>
          <w:szCs w:val="22"/>
          <w:lang w:eastAsia="pl-PL"/>
        </w:rPr>
        <w:t xml:space="preserve"> възраст, поради риск от стомашно-чревно кървене. Когато се изисква продължително лечение, пациентите трябва да се наблюдават редовно (вж. </w:t>
      </w:r>
      <w:r w:rsidR="00AB1EFD" w:rsidRPr="003978CF">
        <w:rPr>
          <w:color w:val="000000"/>
          <w:szCs w:val="22"/>
          <w:lang w:eastAsia="pl-PL"/>
        </w:rPr>
        <w:t>точка</w:t>
      </w:r>
      <w:r w:rsidRPr="003978CF">
        <w:rPr>
          <w:color w:val="000000"/>
          <w:szCs w:val="22"/>
          <w:lang w:eastAsia="pl-PL"/>
        </w:rPr>
        <w:t xml:space="preserve"> 4.2</w:t>
      </w:r>
      <w:r w:rsidR="00C07401" w:rsidRPr="003978CF">
        <w:rPr>
          <w:color w:val="000000"/>
          <w:szCs w:val="22"/>
          <w:lang w:eastAsia="pl-PL"/>
        </w:rPr>
        <w:t>)</w:t>
      </w:r>
      <w:r w:rsidR="00CE790F" w:rsidRPr="003978CF">
        <w:rPr>
          <w:color w:val="000000"/>
          <w:szCs w:val="22"/>
          <w:lang w:eastAsia="pl-PL"/>
        </w:rPr>
        <w:t>.</w:t>
      </w:r>
    </w:p>
    <w:p w14:paraId="104CFC81" w14:textId="77777777" w:rsidR="00101DEA" w:rsidRPr="003978CF" w:rsidRDefault="00101DEA" w:rsidP="00101DEA">
      <w:pPr>
        <w:tabs>
          <w:tab w:val="clear" w:pos="567"/>
        </w:tabs>
        <w:autoSpaceDE w:val="0"/>
        <w:autoSpaceDN w:val="0"/>
        <w:adjustRightInd w:val="0"/>
        <w:spacing w:line="240" w:lineRule="auto"/>
        <w:rPr>
          <w:color w:val="000000"/>
          <w:szCs w:val="22"/>
          <w:lang w:eastAsia="pl-PL"/>
        </w:rPr>
      </w:pPr>
    </w:p>
    <w:p w14:paraId="747F9E60" w14:textId="77777777" w:rsidR="00D600C1" w:rsidRPr="003978CF" w:rsidRDefault="00AA525F" w:rsidP="00D600C1">
      <w:pPr>
        <w:rPr>
          <w:color w:val="000000"/>
          <w:szCs w:val="22"/>
          <w:lang w:eastAsia="pl-PL"/>
        </w:rPr>
      </w:pPr>
      <w:r w:rsidRPr="003978CF">
        <w:rPr>
          <w:color w:val="000000"/>
          <w:szCs w:val="22"/>
          <w:lang w:eastAsia="pl-PL"/>
        </w:rPr>
        <w:t xml:space="preserve">Преди започване на дългосрочна терапия с аспирин за лечение на </w:t>
      </w:r>
      <w:r w:rsidR="003978CF" w:rsidRPr="003978CF">
        <w:rPr>
          <w:color w:val="000000"/>
          <w:szCs w:val="22"/>
          <w:lang w:eastAsia="pl-PL"/>
        </w:rPr>
        <w:t>сърдечносъдови</w:t>
      </w:r>
      <w:r w:rsidRPr="003978CF">
        <w:rPr>
          <w:color w:val="000000"/>
          <w:szCs w:val="22"/>
          <w:lang w:eastAsia="pl-PL"/>
        </w:rPr>
        <w:t xml:space="preserve"> или мозъчно-съдови заболявания, пациентите трябва да се консултират със своя лекар, който може да ги посъветва за относителните предимства в сравнение с рисковете при всеки отделен пациент</w:t>
      </w:r>
      <w:r w:rsidR="00D600C1" w:rsidRPr="003978CF">
        <w:rPr>
          <w:color w:val="000000"/>
          <w:szCs w:val="22"/>
          <w:lang w:eastAsia="pl-PL"/>
        </w:rPr>
        <w:t>.</w:t>
      </w:r>
    </w:p>
    <w:p w14:paraId="5EEBCDF2" w14:textId="77777777" w:rsidR="00D600C1" w:rsidRPr="003978CF" w:rsidRDefault="00D600C1" w:rsidP="00101DEA">
      <w:pPr>
        <w:tabs>
          <w:tab w:val="clear" w:pos="567"/>
        </w:tabs>
        <w:autoSpaceDE w:val="0"/>
        <w:autoSpaceDN w:val="0"/>
        <w:adjustRightInd w:val="0"/>
        <w:spacing w:line="240" w:lineRule="auto"/>
        <w:rPr>
          <w:color w:val="000000"/>
          <w:szCs w:val="22"/>
          <w:lang w:eastAsia="pl-PL"/>
        </w:rPr>
      </w:pPr>
    </w:p>
    <w:p w14:paraId="1748AD89" w14:textId="0088A0F7" w:rsidR="002A3926" w:rsidRPr="003978CF" w:rsidRDefault="00CF4E15" w:rsidP="002A3926">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lastRenderedPageBreak/>
        <w:t>Необходимо е повишено внимание при пациенти с анамнеза за хипертония и/или сърдечна недостатъчност, тъй като се съобщава за задържане на течности и оток във връзка с лечението с НСПВС</w:t>
      </w:r>
      <w:r w:rsidR="002A3926" w:rsidRPr="003978CF">
        <w:rPr>
          <w:color w:val="000000"/>
          <w:szCs w:val="22"/>
          <w:lang w:eastAsia="pl-PL"/>
        </w:rPr>
        <w:t>.</w:t>
      </w:r>
    </w:p>
    <w:p w14:paraId="5A361478" w14:textId="77777777" w:rsidR="004D2200" w:rsidRPr="003978CF" w:rsidRDefault="004D2200" w:rsidP="002A3926">
      <w:pPr>
        <w:tabs>
          <w:tab w:val="clear" w:pos="567"/>
        </w:tabs>
        <w:autoSpaceDE w:val="0"/>
        <w:autoSpaceDN w:val="0"/>
        <w:adjustRightInd w:val="0"/>
        <w:spacing w:line="240" w:lineRule="auto"/>
        <w:rPr>
          <w:color w:val="000000"/>
          <w:szCs w:val="22"/>
          <w:lang w:eastAsia="pl-PL"/>
        </w:rPr>
      </w:pPr>
    </w:p>
    <w:p w14:paraId="67BC262B" w14:textId="77777777" w:rsidR="00D71577" w:rsidRPr="003978CF" w:rsidRDefault="00625094" w:rsidP="00101DEA">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 xml:space="preserve">Сериозни кожни реакции, някои от които фатални, включително ексфолиативен дерматит, синдром на Stevens-Johnson и токсична епидермална некролиза, са докладвани много рядко във връзка с употребата на ацетилсалицилова киселина (вж. </w:t>
      </w:r>
      <w:r w:rsidR="00AB1EFD" w:rsidRPr="003978CF">
        <w:rPr>
          <w:color w:val="000000"/>
          <w:szCs w:val="22"/>
          <w:lang w:eastAsia="pl-PL"/>
        </w:rPr>
        <w:t>точка</w:t>
      </w:r>
      <w:r w:rsidRPr="003978CF">
        <w:rPr>
          <w:color w:val="000000"/>
          <w:szCs w:val="22"/>
          <w:lang w:eastAsia="pl-PL"/>
        </w:rPr>
        <w:t xml:space="preserve"> 4.8</w:t>
      </w:r>
      <w:r w:rsidR="00A54AC3" w:rsidRPr="003978CF">
        <w:rPr>
          <w:color w:val="000000"/>
          <w:szCs w:val="22"/>
          <w:lang w:eastAsia="pl-PL"/>
        </w:rPr>
        <w:t xml:space="preserve">). </w:t>
      </w:r>
      <w:r w:rsidRPr="003978CF">
        <w:rPr>
          <w:color w:val="000000"/>
          <w:szCs w:val="22"/>
          <w:lang w:eastAsia="pl-PL"/>
        </w:rPr>
        <w:t xml:space="preserve">Приемът на </w:t>
      </w:r>
      <w:r w:rsidR="00AC3DB8">
        <w:rPr>
          <w:szCs w:val="22"/>
          <w:lang w:eastAsia="lv-LV"/>
        </w:rPr>
        <w:t xml:space="preserve">АКАРД </w:t>
      </w:r>
      <w:r w:rsidRPr="003978CF">
        <w:rPr>
          <w:color w:val="000000"/>
          <w:szCs w:val="22"/>
          <w:lang w:eastAsia="pl-PL"/>
        </w:rPr>
        <w:t>трябва да се преустанови при първа поява на кожен обрив, лигавични лезии или други признаци на свръхчувствителност</w:t>
      </w:r>
      <w:r w:rsidR="00300B4B" w:rsidRPr="003978CF">
        <w:rPr>
          <w:color w:val="000000"/>
          <w:szCs w:val="22"/>
          <w:lang w:eastAsia="pl-PL"/>
        </w:rPr>
        <w:t>.</w:t>
      </w:r>
    </w:p>
    <w:p w14:paraId="38113303" w14:textId="77777777" w:rsidR="00300B4B" w:rsidRPr="003978CF" w:rsidRDefault="00300B4B" w:rsidP="00101DEA">
      <w:pPr>
        <w:tabs>
          <w:tab w:val="clear" w:pos="567"/>
        </w:tabs>
        <w:autoSpaceDE w:val="0"/>
        <w:autoSpaceDN w:val="0"/>
        <w:adjustRightInd w:val="0"/>
        <w:spacing w:line="240" w:lineRule="auto"/>
        <w:rPr>
          <w:color w:val="000000"/>
          <w:szCs w:val="22"/>
          <w:lang w:eastAsia="pl-PL"/>
        </w:rPr>
      </w:pPr>
    </w:p>
    <w:p w14:paraId="06DEC971" w14:textId="77777777" w:rsidR="00D600C1" w:rsidRPr="003978CF" w:rsidRDefault="00B5623B" w:rsidP="00101DEA">
      <w:pPr>
        <w:tabs>
          <w:tab w:val="clear" w:pos="567"/>
        </w:tabs>
        <w:autoSpaceDE w:val="0"/>
        <w:autoSpaceDN w:val="0"/>
        <w:adjustRightInd w:val="0"/>
        <w:spacing w:line="240" w:lineRule="auto"/>
        <w:rPr>
          <w:i/>
          <w:color w:val="000000"/>
          <w:szCs w:val="22"/>
          <w:lang w:eastAsia="pl-PL"/>
        </w:rPr>
      </w:pPr>
      <w:r w:rsidRPr="003978CF">
        <w:rPr>
          <w:i/>
          <w:szCs w:val="22"/>
        </w:rPr>
        <w:t>Педиатрична популация</w:t>
      </w:r>
    </w:p>
    <w:p w14:paraId="2BE2B53D" w14:textId="77777777" w:rsidR="00D600C1" w:rsidRPr="003978CF" w:rsidRDefault="00B5623B" w:rsidP="00994A45">
      <w:pPr>
        <w:spacing w:line="240" w:lineRule="auto"/>
        <w:rPr>
          <w:rStyle w:val="hps"/>
        </w:rPr>
      </w:pPr>
      <w:r w:rsidRPr="003978CF">
        <w:rPr>
          <w:rStyle w:val="hps"/>
        </w:rPr>
        <w:t xml:space="preserve">В хода на някои вирусни заболявания, особено в случаите на грип А, грип В или варицела-вирусни инфекции, предимно при деца и юноши, съществува риск от синдром на Рей </w:t>
      </w:r>
      <w:r w:rsidR="00AB1EFD" w:rsidRPr="003978CF">
        <w:rPr>
          <w:rStyle w:val="hps"/>
        </w:rPr>
        <w:t>–</w:t>
      </w:r>
      <w:r w:rsidRPr="003978CF">
        <w:rPr>
          <w:rStyle w:val="hps"/>
        </w:rPr>
        <w:t xml:space="preserve"> рядко, но животозастрашаващо заболяване. Упорито повръщане в хода на инфекцията може да е индикатор за изявата на синдрома на Рей, който изисква незабавна медицинска помощ</w:t>
      </w:r>
      <w:r w:rsidR="00994A45" w:rsidRPr="003978CF">
        <w:rPr>
          <w:rStyle w:val="hps"/>
        </w:rPr>
        <w:t>.</w:t>
      </w:r>
    </w:p>
    <w:p w14:paraId="334FC00D" w14:textId="77777777" w:rsidR="00A8053A" w:rsidRPr="003978CF" w:rsidRDefault="00A8053A" w:rsidP="00A8053A">
      <w:pPr>
        <w:numPr>
          <w:ilvl w:val="12"/>
          <w:numId w:val="0"/>
        </w:numPr>
        <w:tabs>
          <w:tab w:val="clear" w:pos="567"/>
        </w:tabs>
        <w:spacing w:line="240" w:lineRule="auto"/>
        <w:ind w:right="-2"/>
        <w:jc w:val="both"/>
      </w:pPr>
      <w:r w:rsidRPr="003978CF">
        <w:rPr>
          <w:rStyle w:val="hps"/>
        </w:rPr>
        <w:t>Рискът от синдрома на Рей в хода на вирусни инфекции може да се увеличи при едновременно приложение на ацетилсалицилова киселина, въпреки че не е установена причинно-следствена връзка.</w:t>
      </w:r>
      <w:r w:rsidRPr="003978CF" w:rsidDel="00A15AD9">
        <w:t xml:space="preserve"> </w:t>
      </w:r>
    </w:p>
    <w:p w14:paraId="158772DD" w14:textId="77777777" w:rsidR="00101DEA" w:rsidRPr="003978CF" w:rsidRDefault="00A8053A" w:rsidP="00A8053A">
      <w:pPr>
        <w:spacing w:line="240" w:lineRule="auto"/>
      </w:pPr>
      <w:r w:rsidRPr="003978CF">
        <w:rPr>
          <w:rStyle w:val="hps"/>
        </w:rPr>
        <w:t>Поради посочените по-горе съображения, продукти, съдържащи ацетилсалицилова киселина, не трябва да се използват при деца и юноши под 16-годишна възраст</w:t>
      </w:r>
      <w:r w:rsidR="00994A45" w:rsidRPr="003978CF">
        <w:t xml:space="preserve"> </w:t>
      </w:r>
      <w:r w:rsidR="00994A45" w:rsidRPr="003978CF">
        <w:rPr>
          <w:rStyle w:val="hps"/>
        </w:rPr>
        <w:t>(</w:t>
      </w:r>
      <w:r w:rsidRPr="003978CF">
        <w:rPr>
          <w:color w:val="000000"/>
          <w:szCs w:val="22"/>
          <w:lang w:eastAsia="pl-PL"/>
        </w:rPr>
        <w:t xml:space="preserve">вж. </w:t>
      </w:r>
      <w:r w:rsidR="00AB1EFD" w:rsidRPr="003978CF">
        <w:rPr>
          <w:color w:val="000000"/>
          <w:szCs w:val="22"/>
          <w:lang w:eastAsia="pl-PL"/>
        </w:rPr>
        <w:t>точка</w:t>
      </w:r>
      <w:r w:rsidRPr="003978CF">
        <w:rPr>
          <w:color w:val="000000"/>
          <w:szCs w:val="22"/>
          <w:lang w:eastAsia="pl-PL"/>
        </w:rPr>
        <w:t xml:space="preserve"> </w:t>
      </w:r>
      <w:r w:rsidR="00994A45" w:rsidRPr="003978CF">
        <w:rPr>
          <w:rStyle w:val="hps"/>
        </w:rPr>
        <w:t>4.3).</w:t>
      </w:r>
      <w:r w:rsidR="00994A45" w:rsidRPr="003978CF">
        <w:rPr>
          <w:szCs w:val="22"/>
        </w:rPr>
        <w:t xml:space="preserve"> </w:t>
      </w:r>
    </w:p>
    <w:p w14:paraId="084E4E59" w14:textId="63B552E8" w:rsidR="00101DEA" w:rsidRDefault="00101DEA" w:rsidP="00101DEA">
      <w:pPr>
        <w:rPr>
          <w:color w:val="000000"/>
          <w:szCs w:val="22"/>
          <w:lang w:eastAsia="pl-PL"/>
        </w:rPr>
      </w:pPr>
    </w:p>
    <w:p w14:paraId="3E3A7861" w14:textId="2889CC21" w:rsidR="005E14FC" w:rsidRPr="005E14FC" w:rsidRDefault="005E14FC" w:rsidP="00101DEA">
      <w:pPr>
        <w:rPr>
          <w:color w:val="000000"/>
          <w:szCs w:val="22"/>
          <w:lang w:eastAsia="pl-PL"/>
        </w:rPr>
      </w:pPr>
      <w:r w:rsidRPr="005E14FC">
        <w:rPr>
          <w:color w:val="000000"/>
          <w:szCs w:val="22"/>
          <w:lang w:eastAsia="pl-PL"/>
        </w:rPr>
        <w:t xml:space="preserve">Това лекарство съдържа по-малко от 1 mmol натрий (23 mg) на </w:t>
      </w:r>
      <w:r w:rsidRPr="003978CF">
        <w:rPr>
          <w:bCs/>
        </w:rPr>
        <w:t>стомашно-устойчива таблетка</w:t>
      </w:r>
      <w:r w:rsidRPr="005E14FC">
        <w:rPr>
          <w:color w:val="000000"/>
          <w:szCs w:val="22"/>
          <w:lang w:eastAsia="pl-PL"/>
        </w:rPr>
        <w:t>, т.е. може да се каже, че практически не съдържа натрий.</w:t>
      </w:r>
    </w:p>
    <w:p w14:paraId="079E5815" w14:textId="77777777" w:rsidR="005E14FC" w:rsidRPr="003978CF" w:rsidRDefault="005E14FC" w:rsidP="00101DEA">
      <w:pPr>
        <w:rPr>
          <w:color w:val="000000"/>
          <w:szCs w:val="22"/>
          <w:lang w:eastAsia="pl-PL"/>
        </w:rPr>
      </w:pPr>
    </w:p>
    <w:p w14:paraId="3F205970" w14:textId="77777777" w:rsidR="001D29E6" w:rsidRPr="003978CF" w:rsidRDefault="001D29E6" w:rsidP="000C1913">
      <w:pPr>
        <w:ind w:left="567" w:hanging="567"/>
      </w:pPr>
      <w:r w:rsidRPr="003978CF">
        <w:rPr>
          <w:b/>
        </w:rPr>
        <w:t>4.5</w:t>
      </w:r>
      <w:r w:rsidRPr="003978CF">
        <w:rPr>
          <w:b/>
        </w:rPr>
        <w:tab/>
      </w:r>
      <w:r w:rsidR="004B71A6" w:rsidRPr="003978CF">
        <w:rPr>
          <w:b/>
          <w:szCs w:val="22"/>
        </w:rPr>
        <w:t>Взаимодействие с други лекарствени продукти и други форми на взаимодействие</w:t>
      </w:r>
    </w:p>
    <w:p w14:paraId="571404DD" w14:textId="77777777" w:rsidR="001D29E6" w:rsidRPr="003978CF" w:rsidRDefault="001D29E6" w:rsidP="000C1913"/>
    <w:p w14:paraId="360B70B2" w14:textId="77777777" w:rsidR="00101DEA" w:rsidRPr="003978CF" w:rsidRDefault="009466DE" w:rsidP="000C1913">
      <w:pPr>
        <w:rPr>
          <w:szCs w:val="22"/>
          <w:u w:val="single"/>
        </w:rPr>
      </w:pPr>
      <w:r w:rsidRPr="003978CF">
        <w:rPr>
          <w:szCs w:val="22"/>
          <w:u w:val="single"/>
        </w:rPr>
        <w:t>Противопоказани комбинации</w:t>
      </w:r>
      <w:r w:rsidR="00101DEA" w:rsidRPr="003978CF">
        <w:rPr>
          <w:szCs w:val="22"/>
          <w:u w:val="single"/>
        </w:rPr>
        <w:t>:</w:t>
      </w:r>
    </w:p>
    <w:p w14:paraId="6FEF3168" w14:textId="77777777" w:rsidR="00101DEA" w:rsidRPr="003978CF" w:rsidRDefault="00101DEA" w:rsidP="00101DEA">
      <w:pPr>
        <w:tabs>
          <w:tab w:val="clear" w:pos="567"/>
        </w:tabs>
        <w:autoSpaceDE w:val="0"/>
        <w:autoSpaceDN w:val="0"/>
        <w:adjustRightInd w:val="0"/>
        <w:spacing w:line="240" w:lineRule="auto"/>
        <w:rPr>
          <w:color w:val="000000"/>
          <w:szCs w:val="22"/>
          <w:lang w:eastAsia="pl-PL"/>
        </w:rPr>
      </w:pPr>
    </w:p>
    <w:p w14:paraId="46474D54" w14:textId="1493CD65" w:rsidR="009466DE" w:rsidRPr="003978CF" w:rsidRDefault="009466DE" w:rsidP="00101DEA">
      <w:pPr>
        <w:rPr>
          <w:i/>
          <w:color w:val="000000"/>
          <w:szCs w:val="22"/>
          <w:lang w:eastAsia="pl-PL"/>
        </w:rPr>
      </w:pPr>
      <w:r w:rsidRPr="003978CF">
        <w:rPr>
          <w:i/>
          <w:color w:val="000000"/>
          <w:szCs w:val="22"/>
          <w:lang w:eastAsia="pl-PL"/>
        </w:rPr>
        <w:t>Метот</w:t>
      </w:r>
      <w:r w:rsidR="00D83639">
        <w:rPr>
          <w:i/>
          <w:color w:val="000000"/>
          <w:szCs w:val="22"/>
          <w:lang w:eastAsia="pl-PL"/>
        </w:rPr>
        <w:t>рексат, използван  в дози от 15 </w:t>
      </w:r>
      <w:r w:rsidRPr="003978CF">
        <w:rPr>
          <w:i/>
          <w:color w:val="000000"/>
          <w:szCs w:val="22"/>
          <w:lang w:eastAsia="pl-PL"/>
        </w:rPr>
        <w:t>mg/седмица или по-големи</w:t>
      </w:r>
    </w:p>
    <w:p w14:paraId="386E74BF" w14:textId="77777777" w:rsidR="00101DEA" w:rsidRPr="003978CF" w:rsidRDefault="00EF5F75" w:rsidP="00101DEA">
      <w:pPr>
        <w:rPr>
          <w:color w:val="000000"/>
          <w:szCs w:val="22"/>
          <w:lang w:eastAsia="pl-PL"/>
        </w:rPr>
      </w:pPr>
      <w:r w:rsidRPr="003978CF">
        <w:rPr>
          <w:color w:val="000000"/>
          <w:szCs w:val="22"/>
          <w:lang w:eastAsia="pl-PL"/>
        </w:rPr>
        <w:t>Ацетилсалициловата киселина повиш</w:t>
      </w:r>
      <w:r w:rsidR="00D83639">
        <w:rPr>
          <w:color w:val="000000"/>
          <w:szCs w:val="22"/>
          <w:lang w:eastAsia="pl-PL"/>
        </w:rPr>
        <w:t>ава токсичността на метотрексат</w:t>
      </w:r>
      <w:r w:rsidRPr="003978CF">
        <w:rPr>
          <w:color w:val="000000"/>
          <w:szCs w:val="22"/>
          <w:lang w:eastAsia="pl-PL"/>
        </w:rPr>
        <w:t xml:space="preserve"> върху костния мозък поради намаления бъбречен клирънс на метотрексат от противовъзпалителни лекарствени продукти, включително ацетилсалицилова киселина. Салицилатите изместват метотрексат от неговите места за свързване с плазмените протеини</w:t>
      </w:r>
      <w:r w:rsidR="00101DEA" w:rsidRPr="003978CF">
        <w:rPr>
          <w:color w:val="000000"/>
          <w:szCs w:val="22"/>
          <w:lang w:eastAsia="pl-PL"/>
        </w:rPr>
        <w:t xml:space="preserve"> (</w:t>
      </w:r>
      <w:r w:rsidR="009466DE" w:rsidRPr="003978CF">
        <w:rPr>
          <w:color w:val="000000"/>
          <w:szCs w:val="22"/>
          <w:lang w:eastAsia="pl-PL"/>
        </w:rPr>
        <w:t xml:space="preserve">вж. </w:t>
      </w:r>
      <w:r w:rsidR="00AB1EFD" w:rsidRPr="003978CF">
        <w:rPr>
          <w:color w:val="000000"/>
          <w:szCs w:val="22"/>
          <w:lang w:eastAsia="pl-PL"/>
        </w:rPr>
        <w:t>точка</w:t>
      </w:r>
      <w:r w:rsidR="009466DE" w:rsidRPr="003978CF">
        <w:rPr>
          <w:color w:val="000000"/>
          <w:szCs w:val="22"/>
          <w:lang w:eastAsia="pl-PL"/>
        </w:rPr>
        <w:t xml:space="preserve"> </w:t>
      </w:r>
      <w:r w:rsidR="00101DEA" w:rsidRPr="003978CF">
        <w:rPr>
          <w:color w:val="000000"/>
          <w:szCs w:val="22"/>
          <w:lang w:eastAsia="pl-PL"/>
        </w:rPr>
        <w:t>4.3).</w:t>
      </w:r>
    </w:p>
    <w:p w14:paraId="00818614" w14:textId="77777777" w:rsidR="00101DEA" w:rsidRPr="003978CF" w:rsidRDefault="00101DEA" w:rsidP="00101DEA">
      <w:pPr>
        <w:rPr>
          <w:color w:val="000000"/>
          <w:szCs w:val="22"/>
          <w:lang w:eastAsia="pl-PL"/>
        </w:rPr>
      </w:pPr>
    </w:p>
    <w:p w14:paraId="040153B5" w14:textId="053B4EDF" w:rsidR="00101DEA" w:rsidRPr="003978CF" w:rsidRDefault="00BD4D44" w:rsidP="00101DEA">
      <w:pPr>
        <w:tabs>
          <w:tab w:val="clear" w:pos="567"/>
        </w:tabs>
        <w:autoSpaceDE w:val="0"/>
        <w:autoSpaceDN w:val="0"/>
        <w:adjustRightInd w:val="0"/>
        <w:spacing w:line="240" w:lineRule="auto"/>
        <w:rPr>
          <w:color w:val="000000"/>
          <w:szCs w:val="22"/>
          <w:u w:val="single"/>
          <w:lang w:eastAsia="pl-PL"/>
        </w:rPr>
      </w:pPr>
      <w:r w:rsidRPr="003978CF">
        <w:rPr>
          <w:color w:val="000000"/>
          <w:szCs w:val="22"/>
          <w:u w:val="single"/>
          <w:lang w:eastAsia="pl-PL"/>
        </w:rPr>
        <w:t>Комбинации, изискващи предпазни мерки при употреба или които да бъдат взети под внимание</w:t>
      </w:r>
      <w:r w:rsidR="00101DEA" w:rsidRPr="003978CF">
        <w:rPr>
          <w:color w:val="000000"/>
          <w:szCs w:val="22"/>
          <w:u w:val="single"/>
          <w:lang w:eastAsia="pl-PL"/>
        </w:rPr>
        <w:t>:</w:t>
      </w:r>
    </w:p>
    <w:p w14:paraId="41F50133" w14:textId="77777777" w:rsidR="006161D0" w:rsidRPr="003978CF" w:rsidRDefault="006161D0" w:rsidP="00101DEA">
      <w:pPr>
        <w:tabs>
          <w:tab w:val="clear" w:pos="567"/>
        </w:tabs>
        <w:autoSpaceDE w:val="0"/>
        <w:autoSpaceDN w:val="0"/>
        <w:adjustRightInd w:val="0"/>
        <w:spacing w:line="240" w:lineRule="auto"/>
        <w:rPr>
          <w:color w:val="000000"/>
          <w:szCs w:val="22"/>
          <w:lang w:eastAsia="pl-PL"/>
        </w:rPr>
      </w:pPr>
    </w:p>
    <w:p w14:paraId="6F3BDA93" w14:textId="77777777" w:rsidR="00101DEA" w:rsidRPr="003978CF" w:rsidRDefault="009466DE" w:rsidP="00101DEA">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Метотрексат, използван в дози по-малки от 15 mg/седмица</w:t>
      </w:r>
    </w:p>
    <w:p w14:paraId="663D1A35" w14:textId="77777777" w:rsidR="00101DEA" w:rsidRPr="003978CF" w:rsidRDefault="00AA0BF5" w:rsidP="00101DEA">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Ацетилсалициловата киселина повиш</w:t>
      </w:r>
      <w:r w:rsidR="00D83639">
        <w:rPr>
          <w:color w:val="000000"/>
          <w:szCs w:val="22"/>
          <w:lang w:eastAsia="pl-PL"/>
        </w:rPr>
        <w:t>ава токсичността на метотрексат</w:t>
      </w:r>
      <w:r w:rsidRPr="003978CF">
        <w:rPr>
          <w:color w:val="000000"/>
          <w:szCs w:val="22"/>
          <w:lang w:eastAsia="pl-PL"/>
        </w:rPr>
        <w:t xml:space="preserve"> върху костния мозък, поради намаления бъбречен клирънс на метотрексат от противовъзпалителни лекарствени продукти, включително ацетилсалицилова киселина. Салицилатите изместват метотрексат от неговите места за свързване с плазмените протеини </w:t>
      </w:r>
      <w:r w:rsidR="006161D0" w:rsidRPr="003978CF">
        <w:rPr>
          <w:color w:val="000000"/>
          <w:szCs w:val="22"/>
          <w:lang w:eastAsia="pl-PL"/>
        </w:rPr>
        <w:t>(</w:t>
      </w:r>
      <w:r w:rsidR="009466DE" w:rsidRPr="003978CF">
        <w:rPr>
          <w:color w:val="000000"/>
          <w:szCs w:val="22"/>
          <w:lang w:eastAsia="pl-PL"/>
        </w:rPr>
        <w:t xml:space="preserve">вж. </w:t>
      </w:r>
      <w:r w:rsidR="00AB1EFD" w:rsidRPr="003978CF">
        <w:rPr>
          <w:color w:val="000000"/>
          <w:szCs w:val="22"/>
          <w:lang w:eastAsia="pl-PL"/>
        </w:rPr>
        <w:t>точка</w:t>
      </w:r>
      <w:r w:rsidR="009466DE" w:rsidRPr="003978CF">
        <w:rPr>
          <w:color w:val="000000"/>
          <w:szCs w:val="22"/>
          <w:lang w:eastAsia="pl-PL"/>
        </w:rPr>
        <w:t xml:space="preserve"> </w:t>
      </w:r>
      <w:r w:rsidR="006161D0" w:rsidRPr="003978CF">
        <w:rPr>
          <w:color w:val="000000"/>
          <w:szCs w:val="22"/>
          <w:lang w:eastAsia="pl-PL"/>
        </w:rPr>
        <w:t>4.3).</w:t>
      </w:r>
    </w:p>
    <w:p w14:paraId="5123572B" w14:textId="77777777" w:rsidR="00101DEA" w:rsidRPr="003978CF" w:rsidRDefault="00101DEA" w:rsidP="00101DEA">
      <w:pPr>
        <w:tabs>
          <w:tab w:val="clear" w:pos="567"/>
        </w:tabs>
        <w:autoSpaceDE w:val="0"/>
        <w:autoSpaceDN w:val="0"/>
        <w:adjustRightInd w:val="0"/>
        <w:spacing w:line="240" w:lineRule="auto"/>
        <w:rPr>
          <w:color w:val="000000"/>
          <w:szCs w:val="22"/>
          <w:lang w:eastAsia="pl-PL"/>
        </w:rPr>
      </w:pPr>
    </w:p>
    <w:p w14:paraId="53D3E662" w14:textId="77777777" w:rsidR="00101DEA" w:rsidRPr="003978CF" w:rsidRDefault="005868D1" w:rsidP="00101DEA">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Ибупрофен</w:t>
      </w:r>
    </w:p>
    <w:p w14:paraId="033A2EAC" w14:textId="4F4D8250" w:rsidR="00D20A83" w:rsidRPr="003978CF" w:rsidRDefault="005868D1" w:rsidP="00D20A83">
      <w:pPr>
        <w:rPr>
          <w:color w:val="000000"/>
          <w:szCs w:val="22"/>
          <w:lang w:eastAsia="pl-PL"/>
        </w:rPr>
      </w:pPr>
      <w:r w:rsidRPr="003978CF">
        <w:rPr>
          <w:color w:val="000000"/>
          <w:szCs w:val="22"/>
          <w:lang w:eastAsia="pl-PL"/>
        </w:rPr>
        <w:t xml:space="preserve">Експериментални данни показват, че ибупрофен </w:t>
      </w:r>
      <w:r w:rsidR="003978CF" w:rsidRPr="003978CF">
        <w:rPr>
          <w:color w:val="000000"/>
          <w:szCs w:val="22"/>
          <w:lang w:eastAsia="pl-PL"/>
        </w:rPr>
        <w:t>може</w:t>
      </w:r>
      <w:r w:rsidRPr="003978CF">
        <w:rPr>
          <w:color w:val="000000"/>
          <w:szCs w:val="22"/>
          <w:lang w:eastAsia="pl-PL"/>
        </w:rPr>
        <w:t xml:space="preserve"> да инхибира ефекта на ниската доза ацетилсалицилова киселина върху тромбоцитната агрегация, когато се използват едновременно. Въпреки това, ограниченията на тези данни и несигурността относно екстраполацията на </w:t>
      </w:r>
      <w:r w:rsidR="008B0515" w:rsidRPr="003978CF">
        <w:rPr>
          <w:i/>
          <w:color w:val="000000"/>
          <w:szCs w:val="22"/>
          <w:lang w:eastAsia="pl-PL"/>
        </w:rPr>
        <w:t>ex vivo</w:t>
      </w:r>
      <w:r w:rsidRPr="003978CF">
        <w:rPr>
          <w:color w:val="000000"/>
          <w:szCs w:val="22"/>
          <w:lang w:eastAsia="pl-PL"/>
        </w:rPr>
        <w:t xml:space="preserve"> данните в клиничната практика означават, че не могат да бъдат направени категорични заключения за редовната употреба на ибупрофен и не може да се има предвид никакъв клинично значим вероятен ефект при случайната употреба на ибупрофен</w:t>
      </w:r>
      <w:r w:rsidR="00101DEA" w:rsidRPr="003978CF">
        <w:rPr>
          <w:color w:val="000000"/>
          <w:szCs w:val="22"/>
          <w:lang w:eastAsia="pl-PL"/>
        </w:rPr>
        <w:t xml:space="preserve"> (</w:t>
      </w:r>
      <w:r w:rsidR="009466DE" w:rsidRPr="003978CF">
        <w:rPr>
          <w:color w:val="000000"/>
          <w:szCs w:val="22"/>
          <w:lang w:eastAsia="pl-PL"/>
        </w:rPr>
        <w:t xml:space="preserve">вж. </w:t>
      </w:r>
      <w:r w:rsidR="00AB1EFD" w:rsidRPr="003978CF">
        <w:rPr>
          <w:color w:val="000000"/>
          <w:szCs w:val="22"/>
          <w:lang w:eastAsia="pl-PL"/>
        </w:rPr>
        <w:t>точка</w:t>
      </w:r>
      <w:r w:rsidR="009466DE" w:rsidRPr="003978CF">
        <w:rPr>
          <w:color w:val="000000"/>
          <w:szCs w:val="22"/>
          <w:lang w:eastAsia="pl-PL"/>
        </w:rPr>
        <w:t xml:space="preserve"> </w:t>
      </w:r>
      <w:r w:rsidR="00101DEA" w:rsidRPr="003978CF">
        <w:rPr>
          <w:color w:val="000000"/>
          <w:szCs w:val="22"/>
          <w:lang w:eastAsia="pl-PL"/>
        </w:rPr>
        <w:t>5.1).</w:t>
      </w:r>
    </w:p>
    <w:p w14:paraId="6A1D33A1" w14:textId="77777777" w:rsidR="00101DEA" w:rsidRPr="003978CF" w:rsidRDefault="00101DEA" w:rsidP="00101DEA">
      <w:pPr>
        <w:rPr>
          <w:color w:val="000000"/>
          <w:szCs w:val="22"/>
          <w:lang w:eastAsia="pl-PL"/>
        </w:rPr>
      </w:pPr>
    </w:p>
    <w:p w14:paraId="7D529BB3" w14:textId="77777777" w:rsidR="00150F17" w:rsidRPr="003978CF" w:rsidRDefault="00150F17" w:rsidP="006161D0">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Антикоагуланти, например кумаринови производни, хепарин</w:t>
      </w:r>
    </w:p>
    <w:p w14:paraId="652C2EAA" w14:textId="6B8D0938" w:rsidR="006161D0" w:rsidRPr="003978CF" w:rsidRDefault="003978CF" w:rsidP="006161D0">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Едновременното приложение на ацетилсалицилова киселина с антикоагуланти като варфарин може да доведе до повишаване на активността на антикоагуланта: повишен риск от удължаване на кървенето и кръвоизлив</w:t>
      </w:r>
      <w:r w:rsidR="00D83639">
        <w:rPr>
          <w:color w:val="000000"/>
          <w:szCs w:val="22"/>
          <w:lang w:eastAsia="pl-PL"/>
        </w:rPr>
        <w:t>,</w:t>
      </w:r>
      <w:r w:rsidRPr="003978CF">
        <w:rPr>
          <w:color w:val="000000"/>
          <w:szCs w:val="22"/>
          <w:lang w:eastAsia="pl-PL"/>
        </w:rPr>
        <w:t xml:space="preserve"> в резултат от изместване на оралните антикоагуланти от местата им </w:t>
      </w:r>
      <w:r w:rsidRPr="003978CF">
        <w:rPr>
          <w:color w:val="000000"/>
          <w:szCs w:val="22"/>
          <w:lang w:eastAsia="pl-PL"/>
        </w:rPr>
        <w:lastRenderedPageBreak/>
        <w:t xml:space="preserve">за свързване с плазмените протеини и антитромбоцитната активност на ацетилсалициловата киселина (вж. </w:t>
      </w:r>
      <w:r w:rsidR="00AB1EFD" w:rsidRPr="003978CF">
        <w:rPr>
          <w:color w:val="000000"/>
          <w:szCs w:val="22"/>
          <w:lang w:eastAsia="pl-PL"/>
        </w:rPr>
        <w:t>точка</w:t>
      </w:r>
      <w:r w:rsidR="009466DE" w:rsidRPr="003978CF">
        <w:rPr>
          <w:color w:val="000000"/>
          <w:szCs w:val="22"/>
          <w:lang w:eastAsia="pl-PL"/>
        </w:rPr>
        <w:t xml:space="preserve"> </w:t>
      </w:r>
      <w:r w:rsidR="00150F17" w:rsidRPr="003978CF">
        <w:rPr>
          <w:color w:val="000000"/>
          <w:szCs w:val="22"/>
          <w:lang w:eastAsia="pl-PL"/>
        </w:rPr>
        <w:t>4.4)</w:t>
      </w:r>
      <w:r w:rsidR="006161D0" w:rsidRPr="003978CF">
        <w:rPr>
          <w:color w:val="000000"/>
          <w:szCs w:val="22"/>
          <w:lang w:eastAsia="pl-PL"/>
        </w:rPr>
        <w:t>.</w:t>
      </w:r>
    </w:p>
    <w:p w14:paraId="6B072DB6" w14:textId="77777777" w:rsidR="006161D0" w:rsidRPr="003978CF" w:rsidRDefault="006161D0" w:rsidP="006161D0">
      <w:pPr>
        <w:tabs>
          <w:tab w:val="clear" w:pos="567"/>
        </w:tabs>
        <w:autoSpaceDE w:val="0"/>
        <w:autoSpaceDN w:val="0"/>
        <w:adjustRightInd w:val="0"/>
        <w:spacing w:line="240" w:lineRule="auto"/>
        <w:rPr>
          <w:color w:val="000000"/>
          <w:szCs w:val="22"/>
          <w:lang w:eastAsia="pl-PL"/>
        </w:rPr>
      </w:pPr>
    </w:p>
    <w:p w14:paraId="0D7185EC" w14:textId="77777777" w:rsidR="006161D0" w:rsidRPr="003978CF" w:rsidRDefault="00D125C6" w:rsidP="006161D0">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Селективни инхибитори на обратното захващане на серотонина (</w:t>
      </w:r>
      <w:r w:rsidR="006161D0" w:rsidRPr="003978CF">
        <w:rPr>
          <w:i/>
          <w:color w:val="000000"/>
          <w:szCs w:val="22"/>
          <w:lang w:eastAsia="pl-PL"/>
        </w:rPr>
        <w:t>SSRI</w:t>
      </w:r>
      <w:r w:rsidR="006161D0" w:rsidRPr="003978CF">
        <w:rPr>
          <w:color w:val="000000"/>
          <w:szCs w:val="22"/>
          <w:lang w:eastAsia="pl-PL"/>
        </w:rPr>
        <w:t>)</w:t>
      </w:r>
      <w:r w:rsidR="006161D0" w:rsidRPr="003978CF">
        <w:rPr>
          <w:i/>
          <w:color w:val="000000"/>
          <w:szCs w:val="22"/>
          <w:lang w:eastAsia="pl-PL"/>
        </w:rPr>
        <w:t xml:space="preserve"> </w:t>
      </w:r>
    </w:p>
    <w:p w14:paraId="572B6A4D" w14:textId="77777777" w:rsidR="006161D0" w:rsidRPr="003978CF" w:rsidRDefault="00D125C6" w:rsidP="006161D0">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Повишен риск от стомашно-чревно кървене поради синергичния ефект</w:t>
      </w:r>
      <w:r w:rsidR="00291745" w:rsidRPr="003978CF">
        <w:rPr>
          <w:color w:val="000000"/>
          <w:szCs w:val="22"/>
          <w:lang w:eastAsia="pl-PL"/>
        </w:rPr>
        <w:t xml:space="preserve"> (</w:t>
      </w:r>
      <w:r w:rsidR="009466DE" w:rsidRPr="003978CF">
        <w:rPr>
          <w:color w:val="000000"/>
          <w:szCs w:val="22"/>
          <w:lang w:eastAsia="pl-PL"/>
        </w:rPr>
        <w:t xml:space="preserve">вж. </w:t>
      </w:r>
      <w:r w:rsidR="00AB1EFD" w:rsidRPr="003978CF">
        <w:rPr>
          <w:color w:val="000000"/>
          <w:szCs w:val="22"/>
          <w:lang w:eastAsia="pl-PL"/>
        </w:rPr>
        <w:t>точка</w:t>
      </w:r>
      <w:r w:rsidR="009466DE" w:rsidRPr="003978CF">
        <w:rPr>
          <w:color w:val="000000"/>
          <w:szCs w:val="22"/>
          <w:lang w:eastAsia="pl-PL"/>
        </w:rPr>
        <w:t xml:space="preserve"> </w:t>
      </w:r>
      <w:r w:rsidR="00291745" w:rsidRPr="003978CF">
        <w:rPr>
          <w:color w:val="000000"/>
          <w:szCs w:val="22"/>
          <w:lang w:eastAsia="pl-PL"/>
        </w:rPr>
        <w:t>4.4)</w:t>
      </w:r>
      <w:r w:rsidR="006161D0" w:rsidRPr="003978CF">
        <w:rPr>
          <w:color w:val="000000"/>
          <w:szCs w:val="22"/>
          <w:lang w:eastAsia="pl-PL"/>
        </w:rPr>
        <w:t>.</w:t>
      </w:r>
    </w:p>
    <w:p w14:paraId="3799F553" w14:textId="77777777" w:rsidR="006161D0" w:rsidRPr="003978CF" w:rsidRDefault="006161D0" w:rsidP="006161D0">
      <w:pPr>
        <w:tabs>
          <w:tab w:val="clear" w:pos="567"/>
        </w:tabs>
        <w:autoSpaceDE w:val="0"/>
        <w:autoSpaceDN w:val="0"/>
        <w:adjustRightInd w:val="0"/>
        <w:spacing w:line="240" w:lineRule="auto"/>
        <w:rPr>
          <w:color w:val="000000"/>
          <w:szCs w:val="22"/>
          <w:lang w:eastAsia="pl-PL"/>
        </w:rPr>
      </w:pPr>
    </w:p>
    <w:p w14:paraId="28653377" w14:textId="77777777" w:rsidR="006161D0" w:rsidRPr="003978CF" w:rsidRDefault="00D125C6" w:rsidP="006161D0">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Други НСПВС, включително салицилати</w:t>
      </w:r>
    </w:p>
    <w:p w14:paraId="4D742C8E" w14:textId="77777777" w:rsidR="006161D0" w:rsidRPr="003978CF" w:rsidRDefault="00D125C6" w:rsidP="006161D0">
      <w:pPr>
        <w:rPr>
          <w:color w:val="000000"/>
          <w:szCs w:val="22"/>
          <w:lang w:eastAsia="pl-PL"/>
        </w:rPr>
      </w:pPr>
      <w:r w:rsidRPr="003978CF">
        <w:rPr>
          <w:color w:val="000000"/>
          <w:szCs w:val="22"/>
          <w:lang w:eastAsia="pl-PL"/>
        </w:rPr>
        <w:t>Едновременната употреба на ацетилсалицилова киселина с други НСПВС повишава риска от увреда на лигавицата на стомаха и/или дванадесетопръстника и от стомашно-чревни кръвоизливи, както и от бъбречна увреда в резултат на синергични ефекти</w:t>
      </w:r>
      <w:r w:rsidR="006161D0" w:rsidRPr="003978CF">
        <w:rPr>
          <w:color w:val="000000"/>
          <w:szCs w:val="22"/>
          <w:lang w:eastAsia="pl-PL"/>
        </w:rPr>
        <w:t>.</w:t>
      </w:r>
    </w:p>
    <w:p w14:paraId="7CDE12A2" w14:textId="77777777" w:rsidR="003C5C0D" w:rsidRPr="003978CF" w:rsidRDefault="003C5C0D" w:rsidP="006161D0"/>
    <w:p w14:paraId="6E7DC2E4" w14:textId="77777777" w:rsidR="006161D0" w:rsidRPr="003978CF" w:rsidRDefault="009A21E1" w:rsidP="006161D0">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Лекарствени продукти, които повишават екскрецията на пикочна киселина в урината, като бензбромарон, пробенецид</w:t>
      </w:r>
    </w:p>
    <w:p w14:paraId="69AA9059" w14:textId="1CA79CE3" w:rsidR="006161D0" w:rsidRPr="003978CF" w:rsidRDefault="009A21E1" w:rsidP="006161D0">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При употребата на ацетилсалицилова киселина заедно с лекарствени продукти, които засилват отделянето на пикочна киселина, се намалява активността на лекарствата за подагра (конкуренция по отношение екскрецията на пикочна киселина от бъбречните каналчета)</w:t>
      </w:r>
      <w:r w:rsidR="006161D0" w:rsidRPr="003978CF">
        <w:rPr>
          <w:color w:val="000000"/>
          <w:szCs w:val="22"/>
          <w:lang w:eastAsia="pl-PL"/>
        </w:rPr>
        <w:t>.</w:t>
      </w:r>
    </w:p>
    <w:p w14:paraId="4F709959" w14:textId="77777777" w:rsidR="006161D0" w:rsidRPr="003978CF" w:rsidRDefault="006161D0" w:rsidP="006161D0">
      <w:pPr>
        <w:tabs>
          <w:tab w:val="clear" w:pos="567"/>
        </w:tabs>
        <w:autoSpaceDE w:val="0"/>
        <w:autoSpaceDN w:val="0"/>
        <w:adjustRightInd w:val="0"/>
        <w:spacing w:line="240" w:lineRule="auto"/>
        <w:rPr>
          <w:color w:val="000000"/>
          <w:szCs w:val="22"/>
          <w:lang w:eastAsia="pl-PL"/>
        </w:rPr>
      </w:pPr>
    </w:p>
    <w:p w14:paraId="2DB7BE34" w14:textId="77777777" w:rsidR="006161D0" w:rsidRPr="003978CF" w:rsidRDefault="009A21E1" w:rsidP="006161D0">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Дигоксин</w:t>
      </w:r>
    </w:p>
    <w:p w14:paraId="7D08A6AE" w14:textId="653A6789" w:rsidR="006161D0" w:rsidRPr="003978CF" w:rsidRDefault="009A21E1" w:rsidP="006161D0">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Ацетилсалициловата киселина нарушава бъбречната екскреция на диго</w:t>
      </w:r>
      <w:r w:rsidR="005B73CD" w:rsidRPr="003978CF">
        <w:rPr>
          <w:color w:val="000000"/>
          <w:szCs w:val="22"/>
          <w:lang w:eastAsia="pl-PL"/>
        </w:rPr>
        <w:t xml:space="preserve">ксин, което води до </w:t>
      </w:r>
      <w:r w:rsidRPr="003978CF">
        <w:rPr>
          <w:color w:val="000000"/>
          <w:szCs w:val="22"/>
          <w:lang w:eastAsia="pl-PL"/>
        </w:rPr>
        <w:t>повишаване на плазмените концентрации</w:t>
      </w:r>
      <w:r w:rsidR="006161D0" w:rsidRPr="003978CF">
        <w:rPr>
          <w:color w:val="000000"/>
          <w:szCs w:val="22"/>
          <w:lang w:eastAsia="pl-PL"/>
        </w:rPr>
        <w:t>.</w:t>
      </w:r>
    </w:p>
    <w:p w14:paraId="4FEF6097" w14:textId="77777777" w:rsidR="006161D0" w:rsidRPr="003978CF" w:rsidRDefault="006161D0" w:rsidP="006161D0">
      <w:pPr>
        <w:tabs>
          <w:tab w:val="clear" w:pos="567"/>
        </w:tabs>
        <w:autoSpaceDE w:val="0"/>
        <w:autoSpaceDN w:val="0"/>
        <w:adjustRightInd w:val="0"/>
        <w:spacing w:line="240" w:lineRule="auto"/>
        <w:rPr>
          <w:color w:val="000000"/>
          <w:szCs w:val="22"/>
          <w:lang w:eastAsia="pl-PL"/>
        </w:rPr>
      </w:pPr>
    </w:p>
    <w:p w14:paraId="2D59529B" w14:textId="77777777" w:rsidR="006161D0" w:rsidRPr="003978CF" w:rsidRDefault="005B73CD" w:rsidP="006161D0">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Антидиабетни средства, например инсулин и сулфонилурейни</w:t>
      </w:r>
    </w:p>
    <w:p w14:paraId="56C2BE4D" w14:textId="0CA2E005" w:rsidR="006161D0" w:rsidRPr="003978CF" w:rsidRDefault="005B73CD" w:rsidP="006161D0">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Поради хипогликемична активност и изместване на сулфанилурейните продукти от техните места на свързване с плазмените протеини, ацетилсалициловата киселина може да повиши хипогликемичния ефект на антидиабетните средства</w:t>
      </w:r>
      <w:r w:rsidR="006161D0" w:rsidRPr="003978CF">
        <w:rPr>
          <w:color w:val="000000"/>
          <w:szCs w:val="22"/>
          <w:lang w:eastAsia="pl-PL"/>
        </w:rPr>
        <w:t>.</w:t>
      </w:r>
    </w:p>
    <w:p w14:paraId="080B8072" w14:textId="77777777" w:rsidR="006161D0" w:rsidRPr="003978CF" w:rsidRDefault="006161D0" w:rsidP="006161D0">
      <w:pPr>
        <w:tabs>
          <w:tab w:val="clear" w:pos="567"/>
        </w:tabs>
        <w:autoSpaceDE w:val="0"/>
        <w:autoSpaceDN w:val="0"/>
        <w:adjustRightInd w:val="0"/>
        <w:spacing w:line="240" w:lineRule="auto"/>
        <w:rPr>
          <w:color w:val="000000"/>
          <w:szCs w:val="22"/>
          <w:lang w:eastAsia="pl-PL"/>
        </w:rPr>
      </w:pPr>
    </w:p>
    <w:p w14:paraId="3C4B3B2E" w14:textId="77777777" w:rsidR="006161D0" w:rsidRPr="003978CF" w:rsidRDefault="00580A0A" w:rsidP="006161D0">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Тромболитични лекарствени продукти или други антитромботични инхибитори (напр. тиклопидин)</w:t>
      </w:r>
    </w:p>
    <w:p w14:paraId="2D2A1C2B" w14:textId="77777777" w:rsidR="006161D0" w:rsidRPr="003978CF" w:rsidRDefault="00580A0A" w:rsidP="006161D0">
      <w:pPr>
        <w:rPr>
          <w:color w:val="000000"/>
          <w:szCs w:val="22"/>
          <w:lang w:eastAsia="pl-PL"/>
        </w:rPr>
      </w:pPr>
      <w:r w:rsidRPr="003978CF">
        <w:rPr>
          <w:color w:val="000000"/>
          <w:szCs w:val="22"/>
          <w:lang w:eastAsia="pl-PL"/>
        </w:rPr>
        <w:t>Едновременното приложение с ацетилсалицилова киселина може да повиши риска от удължаване на кървенето и кръвоизлив</w:t>
      </w:r>
      <w:r w:rsidR="006161D0" w:rsidRPr="003978CF">
        <w:rPr>
          <w:color w:val="000000"/>
          <w:szCs w:val="22"/>
          <w:lang w:eastAsia="pl-PL"/>
        </w:rPr>
        <w:t>.</w:t>
      </w:r>
    </w:p>
    <w:p w14:paraId="438769E6" w14:textId="77777777" w:rsidR="006161D0" w:rsidRPr="003978CF" w:rsidRDefault="006161D0" w:rsidP="006161D0">
      <w:pPr>
        <w:rPr>
          <w:color w:val="000000"/>
          <w:szCs w:val="22"/>
          <w:lang w:eastAsia="pl-PL"/>
        </w:rPr>
      </w:pPr>
    </w:p>
    <w:p w14:paraId="3CF672F3" w14:textId="77777777" w:rsidR="006161D0" w:rsidRPr="003978CF" w:rsidRDefault="00580A0A" w:rsidP="006161D0">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Диуретици</w:t>
      </w:r>
      <w:r w:rsidR="006161D0" w:rsidRPr="003978CF">
        <w:rPr>
          <w:i/>
          <w:color w:val="000000"/>
          <w:szCs w:val="22"/>
          <w:lang w:eastAsia="pl-PL"/>
        </w:rPr>
        <w:t xml:space="preserve"> </w:t>
      </w:r>
    </w:p>
    <w:p w14:paraId="55A49850" w14:textId="5F78CCD9" w:rsidR="006161D0" w:rsidRPr="003978CF" w:rsidRDefault="003978CF" w:rsidP="006161D0">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Намалена диуретична активност чрез задържане на натрий и вода в организма, вследствие на намалената гломерулна филтрация по пътя на намален синтез</w:t>
      </w:r>
      <w:r>
        <w:rPr>
          <w:color w:val="000000"/>
          <w:szCs w:val="22"/>
          <w:lang w:eastAsia="pl-PL"/>
        </w:rPr>
        <w:t xml:space="preserve"> </w:t>
      </w:r>
      <w:r w:rsidRPr="003978CF">
        <w:rPr>
          <w:color w:val="000000"/>
          <w:szCs w:val="22"/>
          <w:lang w:eastAsia="pl-PL"/>
        </w:rPr>
        <w:t xml:space="preserve">на ренален простагландин в бъбреците. </w:t>
      </w:r>
      <w:r w:rsidR="00580A0A" w:rsidRPr="003978CF">
        <w:rPr>
          <w:color w:val="000000"/>
          <w:szCs w:val="22"/>
          <w:lang w:eastAsia="pl-PL"/>
        </w:rPr>
        <w:t>Ацетилсалициловата киселина може да</w:t>
      </w:r>
      <w:r w:rsidR="00D83639">
        <w:rPr>
          <w:color w:val="000000"/>
          <w:szCs w:val="22"/>
          <w:lang w:eastAsia="pl-PL"/>
        </w:rPr>
        <w:t xml:space="preserve"> повиши ототоксичността на фурос</w:t>
      </w:r>
      <w:r w:rsidR="00580A0A" w:rsidRPr="003978CF">
        <w:rPr>
          <w:color w:val="000000"/>
          <w:szCs w:val="22"/>
          <w:lang w:eastAsia="pl-PL"/>
        </w:rPr>
        <w:t>емид</w:t>
      </w:r>
      <w:r w:rsidR="006161D0" w:rsidRPr="003978CF">
        <w:rPr>
          <w:color w:val="000000"/>
          <w:szCs w:val="22"/>
          <w:lang w:eastAsia="pl-PL"/>
        </w:rPr>
        <w:t>.</w:t>
      </w:r>
    </w:p>
    <w:p w14:paraId="26740C35" w14:textId="77777777" w:rsidR="006161D0" w:rsidRPr="003978CF" w:rsidRDefault="006161D0" w:rsidP="006161D0">
      <w:pPr>
        <w:tabs>
          <w:tab w:val="clear" w:pos="567"/>
        </w:tabs>
        <w:autoSpaceDE w:val="0"/>
        <w:autoSpaceDN w:val="0"/>
        <w:adjustRightInd w:val="0"/>
        <w:spacing w:line="240" w:lineRule="auto"/>
        <w:rPr>
          <w:color w:val="000000"/>
          <w:szCs w:val="22"/>
          <w:lang w:eastAsia="pl-PL"/>
        </w:rPr>
      </w:pPr>
    </w:p>
    <w:p w14:paraId="4D050A3F" w14:textId="77777777" w:rsidR="006161D0" w:rsidRPr="003978CF" w:rsidRDefault="00580A0A" w:rsidP="006161D0">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Системни кортикостероиди</w:t>
      </w:r>
    </w:p>
    <w:p w14:paraId="5566E72E" w14:textId="3857810A" w:rsidR="006161D0" w:rsidRPr="003978CF" w:rsidRDefault="00580A0A" w:rsidP="006161D0">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Едновременното приложение с ацетилсалицилова киселина може да повиши риска от стомашно-чревни язви и кървене, да намали плазмената концентрация на салицилата по време на лечението с кортикостероиди, както и да доведе до риск от предозиране на салицилата след спирането на кортикостероидите</w:t>
      </w:r>
      <w:r w:rsidR="00F112DD" w:rsidRPr="003978CF">
        <w:rPr>
          <w:color w:val="000000"/>
          <w:szCs w:val="22"/>
          <w:lang w:eastAsia="pl-PL"/>
        </w:rPr>
        <w:t xml:space="preserve"> (</w:t>
      </w:r>
      <w:r w:rsidR="009466DE" w:rsidRPr="003978CF">
        <w:rPr>
          <w:color w:val="000000"/>
          <w:szCs w:val="22"/>
          <w:lang w:eastAsia="pl-PL"/>
        </w:rPr>
        <w:t xml:space="preserve">вж. </w:t>
      </w:r>
      <w:r w:rsidR="00AB1EFD" w:rsidRPr="003978CF">
        <w:rPr>
          <w:color w:val="000000"/>
          <w:szCs w:val="22"/>
          <w:lang w:eastAsia="pl-PL"/>
        </w:rPr>
        <w:t>точка</w:t>
      </w:r>
      <w:r w:rsidR="009466DE" w:rsidRPr="003978CF">
        <w:rPr>
          <w:color w:val="000000"/>
          <w:szCs w:val="22"/>
          <w:lang w:eastAsia="pl-PL"/>
        </w:rPr>
        <w:t xml:space="preserve"> </w:t>
      </w:r>
      <w:r w:rsidR="00077D3C" w:rsidRPr="003978CF">
        <w:rPr>
          <w:color w:val="000000"/>
          <w:szCs w:val="22"/>
          <w:lang w:eastAsia="pl-PL"/>
        </w:rPr>
        <w:t>4.4)</w:t>
      </w:r>
      <w:r w:rsidR="006161D0" w:rsidRPr="003978CF">
        <w:rPr>
          <w:color w:val="000000"/>
          <w:szCs w:val="22"/>
          <w:lang w:eastAsia="pl-PL"/>
        </w:rPr>
        <w:t>.</w:t>
      </w:r>
    </w:p>
    <w:p w14:paraId="67BFB6CF" w14:textId="77777777" w:rsidR="006161D0" w:rsidRPr="003978CF" w:rsidRDefault="006161D0" w:rsidP="006161D0">
      <w:pPr>
        <w:tabs>
          <w:tab w:val="clear" w:pos="567"/>
        </w:tabs>
        <w:autoSpaceDE w:val="0"/>
        <w:autoSpaceDN w:val="0"/>
        <w:adjustRightInd w:val="0"/>
        <w:spacing w:line="240" w:lineRule="auto"/>
        <w:rPr>
          <w:color w:val="000000"/>
          <w:szCs w:val="22"/>
          <w:lang w:eastAsia="pl-PL"/>
        </w:rPr>
      </w:pPr>
    </w:p>
    <w:p w14:paraId="40D52101" w14:textId="77777777" w:rsidR="006161D0" w:rsidRPr="003978CF" w:rsidRDefault="00580A0A" w:rsidP="006161D0">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Едновременното приложение с АСЕ-инхибитори</w:t>
      </w:r>
    </w:p>
    <w:p w14:paraId="4B5FFC3A" w14:textId="77777777" w:rsidR="006161D0" w:rsidRPr="003978CF" w:rsidRDefault="00667AF5" w:rsidP="006161D0">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Намален антихипертензивен ефект</w:t>
      </w:r>
      <w:r w:rsidR="00D83639">
        <w:rPr>
          <w:color w:val="000000"/>
          <w:szCs w:val="22"/>
          <w:lang w:eastAsia="pl-PL"/>
        </w:rPr>
        <w:t>,</w:t>
      </w:r>
      <w:r w:rsidRPr="003978CF">
        <w:rPr>
          <w:color w:val="000000"/>
          <w:szCs w:val="22"/>
          <w:lang w:eastAsia="pl-PL"/>
        </w:rPr>
        <w:t xml:space="preserve"> вследствие на понижената гломерулна филтрация чрез намаляване на синтезата на ренален простагландин, действащи ефекти на съдоразширяване</w:t>
      </w:r>
      <w:r w:rsidR="00580A0A" w:rsidRPr="003978CF">
        <w:rPr>
          <w:color w:val="000000"/>
          <w:szCs w:val="22"/>
          <w:lang w:eastAsia="pl-PL"/>
        </w:rPr>
        <w:t>.</w:t>
      </w:r>
    </w:p>
    <w:p w14:paraId="3C5C273F" w14:textId="77777777" w:rsidR="00580A0A" w:rsidRPr="003978CF" w:rsidRDefault="00580A0A" w:rsidP="006161D0">
      <w:pPr>
        <w:tabs>
          <w:tab w:val="clear" w:pos="567"/>
        </w:tabs>
        <w:autoSpaceDE w:val="0"/>
        <w:autoSpaceDN w:val="0"/>
        <w:adjustRightInd w:val="0"/>
        <w:spacing w:line="240" w:lineRule="auto"/>
        <w:rPr>
          <w:color w:val="000000"/>
          <w:szCs w:val="22"/>
          <w:lang w:eastAsia="pl-PL"/>
        </w:rPr>
      </w:pPr>
    </w:p>
    <w:p w14:paraId="365A5E20" w14:textId="77777777" w:rsidR="006161D0" w:rsidRPr="003978CF" w:rsidRDefault="00667AF5" w:rsidP="006161D0">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Валпроева киселина</w:t>
      </w:r>
    </w:p>
    <w:p w14:paraId="43D9BAFB" w14:textId="77777777" w:rsidR="006161D0" w:rsidRPr="003978CF" w:rsidRDefault="00667AF5" w:rsidP="006161D0">
      <w:pPr>
        <w:rPr>
          <w:color w:val="000000"/>
          <w:szCs w:val="22"/>
          <w:lang w:eastAsia="pl-PL"/>
        </w:rPr>
      </w:pPr>
      <w:r w:rsidRPr="003978CF">
        <w:rPr>
          <w:color w:val="000000"/>
          <w:szCs w:val="22"/>
          <w:lang w:eastAsia="pl-PL"/>
        </w:rPr>
        <w:t xml:space="preserve">Ацетилсалициловата киселина увеличава токсичността на валпроевата киселина, като я измества от местата за свързване с плазмените протеини. </w:t>
      </w:r>
      <w:r w:rsidR="003978CF" w:rsidRPr="003978CF">
        <w:rPr>
          <w:color w:val="000000"/>
          <w:szCs w:val="22"/>
          <w:lang w:eastAsia="pl-PL"/>
        </w:rPr>
        <w:t>Валпроевата киселина потенцира антитромбоцитната активност на ацетилсалициловата киселина поради синергичния ефект.</w:t>
      </w:r>
    </w:p>
    <w:p w14:paraId="12E7025B" w14:textId="07AAE925" w:rsidR="006161D0" w:rsidRDefault="006161D0" w:rsidP="006161D0"/>
    <w:p w14:paraId="42BEEFE8" w14:textId="345A67A2" w:rsidR="005E14FC" w:rsidRPr="005E14FC" w:rsidRDefault="005E14FC" w:rsidP="006161D0">
      <w:pPr>
        <w:rPr>
          <w:i/>
          <w:iCs/>
        </w:rPr>
      </w:pPr>
      <w:r w:rsidRPr="005E14FC">
        <w:rPr>
          <w:i/>
          <w:iCs/>
        </w:rPr>
        <w:t>Метамизол</w:t>
      </w:r>
    </w:p>
    <w:p w14:paraId="47A66004" w14:textId="46CA036B" w:rsidR="005E14FC" w:rsidRPr="005E14FC" w:rsidRDefault="005E14FC" w:rsidP="006161D0">
      <w:r w:rsidRPr="005E14FC">
        <w:t>При едновременен прием метамизол може да намали ефекта на ацетилсалициловата киселина върху тромбоцитната агрегация. Следователно, тази комбинация трябва да се използва с повишено внимание при пациенти, приемащи ниска доза аспирин за кардиопротекция.</w:t>
      </w:r>
    </w:p>
    <w:p w14:paraId="36641181" w14:textId="77777777" w:rsidR="005E14FC" w:rsidRDefault="005E14FC" w:rsidP="006161D0">
      <w:pPr>
        <w:tabs>
          <w:tab w:val="clear" w:pos="567"/>
        </w:tabs>
        <w:autoSpaceDE w:val="0"/>
        <w:autoSpaceDN w:val="0"/>
        <w:adjustRightInd w:val="0"/>
        <w:spacing w:line="240" w:lineRule="auto"/>
        <w:rPr>
          <w:i/>
          <w:color w:val="000000"/>
          <w:szCs w:val="22"/>
          <w:lang w:eastAsia="pl-PL"/>
        </w:rPr>
      </w:pPr>
    </w:p>
    <w:p w14:paraId="4352285D" w14:textId="4EF20985" w:rsidR="006161D0" w:rsidRPr="003978CF" w:rsidRDefault="00667AF5" w:rsidP="007E1076">
      <w:pPr>
        <w:keepNext/>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lastRenderedPageBreak/>
        <w:t>Алкохол</w:t>
      </w:r>
    </w:p>
    <w:p w14:paraId="41E34051" w14:textId="77777777" w:rsidR="006161D0" w:rsidRPr="003978CF" w:rsidRDefault="0056449B" w:rsidP="007E1076">
      <w:pPr>
        <w:keepNext/>
        <w:tabs>
          <w:tab w:val="clear" w:pos="567"/>
        </w:tabs>
        <w:autoSpaceDE w:val="0"/>
        <w:autoSpaceDN w:val="0"/>
        <w:adjustRightInd w:val="0"/>
        <w:spacing w:line="240" w:lineRule="auto"/>
        <w:rPr>
          <w:color w:val="000000"/>
          <w:szCs w:val="22"/>
          <w:lang w:eastAsia="pl-PL"/>
        </w:rPr>
      </w:pPr>
      <w:r w:rsidRPr="003978CF">
        <w:rPr>
          <w:color w:val="000000"/>
          <w:szCs w:val="22"/>
          <w:lang w:eastAsia="pl-PL"/>
        </w:rPr>
        <w:t>Едновременното приемане на алкохол и ацетилсалицилова киселина увеличава риска от стомашно-чревни нежелани реакции, например гастроинтестинална язва или гастроинтестинално кървене</w:t>
      </w:r>
      <w:r w:rsidR="006161D0" w:rsidRPr="003978CF">
        <w:rPr>
          <w:color w:val="000000"/>
          <w:szCs w:val="22"/>
          <w:lang w:eastAsia="pl-PL"/>
        </w:rPr>
        <w:t>.</w:t>
      </w:r>
    </w:p>
    <w:p w14:paraId="462736AC" w14:textId="77777777" w:rsidR="006161D0" w:rsidRPr="003978CF" w:rsidRDefault="006161D0" w:rsidP="006161D0">
      <w:pPr>
        <w:tabs>
          <w:tab w:val="clear" w:pos="567"/>
        </w:tabs>
        <w:autoSpaceDE w:val="0"/>
        <w:autoSpaceDN w:val="0"/>
        <w:adjustRightInd w:val="0"/>
        <w:spacing w:line="240" w:lineRule="auto"/>
        <w:rPr>
          <w:color w:val="000000"/>
          <w:szCs w:val="22"/>
          <w:lang w:eastAsia="pl-PL"/>
        </w:rPr>
      </w:pPr>
    </w:p>
    <w:p w14:paraId="696936C1" w14:textId="77777777" w:rsidR="006161D0" w:rsidRPr="003978CF" w:rsidRDefault="005F5180" w:rsidP="006161D0">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Инхибитори на карбоанхидразата</w:t>
      </w:r>
    </w:p>
    <w:p w14:paraId="046674E4" w14:textId="77777777" w:rsidR="006161D0" w:rsidRPr="003978CF" w:rsidRDefault="005F5180" w:rsidP="006161D0">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Намалена екскреция на ацетазоламид; салицилатна интоксикация е настъпвала при пациенти на схеми с високи дози салицилати и инхибитори на карбоанхидразата. Ко</w:t>
      </w:r>
      <w:r w:rsidR="00AB1EFD" w:rsidRPr="003978CF">
        <w:rPr>
          <w:color w:val="000000"/>
          <w:szCs w:val="22"/>
          <w:lang w:eastAsia="pl-PL"/>
        </w:rPr>
        <w:t>н</w:t>
      </w:r>
      <w:r w:rsidRPr="003978CF">
        <w:rPr>
          <w:color w:val="000000"/>
          <w:szCs w:val="22"/>
          <w:lang w:eastAsia="pl-PL"/>
        </w:rPr>
        <w:t>курентното прилагане на инхибитори на карбоанхидразата</w:t>
      </w:r>
      <w:r w:rsidR="00D83639">
        <w:rPr>
          <w:color w:val="000000"/>
          <w:szCs w:val="22"/>
          <w:lang w:eastAsia="pl-PL"/>
        </w:rPr>
        <w:t>,</w:t>
      </w:r>
      <w:r w:rsidRPr="003978CF">
        <w:rPr>
          <w:color w:val="000000"/>
          <w:szCs w:val="22"/>
          <w:lang w:eastAsia="pl-PL"/>
        </w:rPr>
        <w:t xml:space="preserve"> като ацетазоламид и салицилати, може да доведе до тежка ацидоза и повишена токсичност на централната нервна система</w:t>
      </w:r>
      <w:r w:rsidR="006161D0" w:rsidRPr="003978CF">
        <w:rPr>
          <w:color w:val="000000"/>
          <w:szCs w:val="22"/>
          <w:lang w:eastAsia="pl-PL"/>
        </w:rPr>
        <w:t>.</w:t>
      </w:r>
    </w:p>
    <w:p w14:paraId="699EFC15" w14:textId="77777777" w:rsidR="006161D0" w:rsidRPr="003978CF" w:rsidRDefault="006161D0" w:rsidP="006161D0">
      <w:pPr>
        <w:tabs>
          <w:tab w:val="clear" w:pos="567"/>
        </w:tabs>
        <w:autoSpaceDE w:val="0"/>
        <w:autoSpaceDN w:val="0"/>
        <w:adjustRightInd w:val="0"/>
        <w:spacing w:line="240" w:lineRule="auto"/>
        <w:rPr>
          <w:color w:val="000000"/>
          <w:szCs w:val="22"/>
          <w:lang w:eastAsia="pl-PL"/>
        </w:rPr>
      </w:pPr>
    </w:p>
    <w:p w14:paraId="1339A6BF" w14:textId="77777777" w:rsidR="006161D0" w:rsidRPr="003978CF" w:rsidRDefault="005F5180" w:rsidP="006161D0">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Антиациди и адсорбенти</w:t>
      </w:r>
    </w:p>
    <w:p w14:paraId="25BE9D31" w14:textId="0FFE3F2B" w:rsidR="006161D0" w:rsidRPr="003978CF" w:rsidRDefault="0022660A" w:rsidP="006161D0">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Екскрецията на ацетилсалициловата киселина се увеличава в алкална урина; каолинът вероятно намалява абсорбцията. Пациентите трябва да бъдат съветвани да не приемат едновременно антиациди, за да се избегне преждевременното освобождаване на лекарството</w:t>
      </w:r>
      <w:r w:rsidR="006161D0" w:rsidRPr="003978CF">
        <w:rPr>
          <w:color w:val="000000"/>
          <w:szCs w:val="22"/>
          <w:lang w:eastAsia="pl-PL"/>
        </w:rPr>
        <w:t>.</w:t>
      </w:r>
    </w:p>
    <w:p w14:paraId="1CA1364C" w14:textId="77777777" w:rsidR="00036A3B" w:rsidRPr="003978CF" w:rsidRDefault="00036A3B" w:rsidP="006161D0">
      <w:pPr>
        <w:tabs>
          <w:tab w:val="clear" w:pos="567"/>
        </w:tabs>
        <w:autoSpaceDE w:val="0"/>
        <w:autoSpaceDN w:val="0"/>
        <w:adjustRightInd w:val="0"/>
        <w:spacing w:line="240" w:lineRule="auto"/>
        <w:rPr>
          <w:color w:val="000000"/>
          <w:szCs w:val="22"/>
          <w:lang w:eastAsia="pl-PL"/>
        </w:rPr>
      </w:pPr>
    </w:p>
    <w:p w14:paraId="6FACBEC0" w14:textId="77777777" w:rsidR="006161D0" w:rsidRPr="003978CF" w:rsidRDefault="0022660A" w:rsidP="006161D0">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Антибактериални средства</w:t>
      </w:r>
    </w:p>
    <w:p w14:paraId="511EADFB" w14:textId="77777777" w:rsidR="006161D0" w:rsidRPr="003978CF" w:rsidRDefault="0022660A" w:rsidP="006161D0">
      <w:pPr>
        <w:rPr>
          <w:color w:val="000000"/>
          <w:szCs w:val="22"/>
          <w:lang w:eastAsia="pl-PL"/>
        </w:rPr>
      </w:pPr>
      <w:r w:rsidRPr="003978CF">
        <w:rPr>
          <w:color w:val="000000"/>
          <w:szCs w:val="22"/>
          <w:lang w:eastAsia="pl-PL"/>
        </w:rPr>
        <w:t>Токсичността на сулфонамидите може да се увеличи</w:t>
      </w:r>
      <w:r w:rsidR="006161D0" w:rsidRPr="003978CF">
        <w:rPr>
          <w:color w:val="000000"/>
          <w:szCs w:val="22"/>
          <w:lang w:eastAsia="pl-PL"/>
        </w:rPr>
        <w:t>.</w:t>
      </w:r>
    </w:p>
    <w:p w14:paraId="2105551F" w14:textId="77777777" w:rsidR="008130A8" w:rsidRPr="003978CF" w:rsidRDefault="008130A8" w:rsidP="006161D0">
      <w:pPr>
        <w:rPr>
          <w:iCs/>
        </w:rPr>
      </w:pPr>
    </w:p>
    <w:p w14:paraId="649F3F0E" w14:textId="77777777" w:rsidR="006161D0" w:rsidRPr="003978CF" w:rsidRDefault="0022660A" w:rsidP="006161D0">
      <w:r w:rsidRPr="003978CF">
        <w:rPr>
          <w:i/>
          <w:iCs/>
        </w:rPr>
        <w:t>Циклоспорин</w:t>
      </w:r>
    </w:p>
    <w:p w14:paraId="4C42F026" w14:textId="77777777" w:rsidR="008130A8" w:rsidRPr="003978CF" w:rsidRDefault="0022660A" w:rsidP="006161D0">
      <w:pPr>
        <w:tabs>
          <w:tab w:val="clear" w:pos="567"/>
        </w:tabs>
        <w:autoSpaceDE w:val="0"/>
        <w:autoSpaceDN w:val="0"/>
        <w:adjustRightInd w:val="0"/>
        <w:spacing w:line="240" w:lineRule="auto"/>
        <w:rPr>
          <w:szCs w:val="22"/>
          <w:lang w:eastAsia="pl-PL"/>
        </w:rPr>
      </w:pPr>
      <w:r w:rsidRPr="003978CF">
        <w:rPr>
          <w:iCs/>
        </w:rPr>
        <w:t>Едновременната употреба на циклоспорин и НСПВС може да доведе до повишен риск от циклоспоринова нефротоксичност</w:t>
      </w:r>
      <w:r w:rsidR="00AC212D" w:rsidRPr="003978CF">
        <w:rPr>
          <w:iCs/>
        </w:rPr>
        <w:t>.</w:t>
      </w:r>
    </w:p>
    <w:p w14:paraId="3F03C981" w14:textId="77777777" w:rsidR="008130A8" w:rsidRPr="003978CF" w:rsidRDefault="008130A8" w:rsidP="006161D0">
      <w:pPr>
        <w:tabs>
          <w:tab w:val="clear" w:pos="567"/>
        </w:tabs>
        <w:autoSpaceDE w:val="0"/>
        <w:autoSpaceDN w:val="0"/>
        <w:adjustRightInd w:val="0"/>
        <w:spacing w:line="240" w:lineRule="auto"/>
        <w:rPr>
          <w:i/>
          <w:color w:val="000000"/>
          <w:szCs w:val="22"/>
          <w:lang w:eastAsia="pl-PL"/>
        </w:rPr>
      </w:pPr>
    </w:p>
    <w:p w14:paraId="0F5642B1" w14:textId="77777777" w:rsidR="006161D0" w:rsidRPr="003978CF" w:rsidRDefault="0022660A" w:rsidP="006161D0">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Антиеметици</w:t>
      </w:r>
    </w:p>
    <w:p w14:paraId="7B493832" w14:textId="77777777" w:rsidR="006161D0" w:rsidRPr="003978CF" w:rsidRDefault="0022660A" w:rsidP="006161D0">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Метоклопрамид засилва ефектите на ацетилсалициловата киселина чрез увеличаване на скоростта на абсорбцията</w:t>
      </w:r>
      <w:r w:rsidR="006161D0" w:rsidRPr="003978CF">
        <w:rPr>
          <w:color w:val="000000"/>
          <w:szCs w:val="22"/>
          <w:lang w:eastAsia="pl-PL"/>
        </w:rPr>
        <w:t>.</w:t>
      </w:r>
    </w:p>
    <w:p w14:paraId="42FDC356" w14:textId="77777777" w:rsidR="006161D0" w:rsidRPr="003978CF" w:rsidRDefault="006161D0" w:rsidP="006161D0">
      <w:pPr>
        <w:tabs>
          <w:tab w:val="clear" w:pos="567"/>
        </w:tabs>
        <w:autoSpaceDE w:val="0"/>
        <w:autoSpaceDN w:val="0"/>
        <w:adjustRightInd w:val="0"/>
        <w:spacing w:line="240" w:lineRule="auto"/>
        <w:rPr>
          <w:color w:val="000000"/>
          <w:szCs w:val="22"/>
          <w:lang w:eastAsia="pl-PL"/>
        </w:rPr>
      </w:pPr>
    </w:p>
    <w:p w14:paraId="1C3B86BF" w14:textId="77777777" w:rsidR="006161D0" w:rsidRPr="003978CF" w:rsidRDefault="0022660A" w:rsidP="006161D0">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Левкотриенови антагонисти</w:t>
      </w:r>
    </w:p>
    <w:p w14:paraId="32AD1252" w14:textId="77777777" w:rsidR="006161D0" w:rsidRPr="003978CF" w:rsidRDefault="0022660A" w:rsidP="006161D0">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Повишава се плазмената концентрация на зафирлукаст</w:t>
      </w:r>
      <w:r w:rsidR="006161D0" w:rsidRPr="003978CF">
        <w:rPr>
          <w:color w:val="000000"/>
          <w:szCs w:val="22"/>
          <w:lang w:eastAsia="pl-PL"/>
        </w:rPr>
        <w:t>.</w:t>
      </w:r>
    </w:p>
    <w:p w14:paraId="34A4B1D3" w14:textId="77777777" w:rsidR="006161D0" w:rsidRPr="003978CF" w:rsidRDefault="006161D0" w:rsidP="006161D0">
      <w:pPr>
        <w:tabs>
          <w:tab w:val="clear" w:pos="567"/>
        </w:tabs>
        <w:autoSpaceDE w:val="0"/>
        <w:autoSpaceDN w:val="0"/>
        <w:adjustRightInd w:val="0"/>
        <w:spacing w:line="240" w:lineRule="auto"/>
        <w:rPr>
          <w:color w:val="000000"/>
          <w:szCs w:val="22"/>
          <w:lang w:eastAsia="pl-PL"/>
        </w:rPr>
      </w:pPr>
    </w:p>
    <w:p w14:paraId="2D46C3EB" w14:textId="77777777" w:rsidR="006161D0" w:rsidRPr="003978CF" w:rsidRDefault="0022660A" w:rsidP="006161D0">
      <w:pPr>
        <w:tabs>
          <w:tab w:val="clear" w:pos="567"/>
        </w:tabs>
        <w:autoSpaceDE w:val="0"/>
        <w:autoSpaceDN w:val="0"/>
        <w:adjustRightInd w:val="0"/>
        <w:spacing w:line="240" w:lineRule="auto"/>
        <w:rPr>
          <w:i/>
          <w:color w:val="000000"/>
          <w:szCs w:val="22"/>
          <w:lang w:eastAsia="pl-PL"/>
        </w:rPr>
      </w:pPr>
      <w:r w:rsidRPr="003978CF">
        <w:rPr>
          <w:i/>
          <w:color w:val="000000"/>
          <w:szCs w:val="22"/>
          <w:lang w:eastAsia="pl-PL"/>
        </w:rPr>
        <w:t>Тестове за функцията на щитовидната жлеза</w:t>
      </w:r>
    </w:p>
    <w:p w14:paraId="0ED6E72A" w14:textId="77777777" w:rsidR="006161D0" w:rsidRPr="003978CF" w:rsidRDefault="0022660A" w:rsidP="006161D0">
      <w:pPr>
        <w:rPr>
          <w:color w:val="000000"/>
          <w:szCs w:val="22"/>
          <w:lang w:eastAsia="pl-PL"/>
        </w:rPr>
      </w:pPr>
      <w:r w:rsidRPr="003978CF">
        <w:rPr>
          <w:color w:val="000000"/>
          <w:szCs w:val="22"/>
          <w:lang w:eastAsia="pl-PL"/>
        </w:rPr>
        <w:t>Ацетилсалициловата киселина може да промени резултатите на тестове на функцията на щитовидната жлеза</w:t>
      </w:r>
      <w:r w:rsidR="006161D0" w:rsidRPr="003978CF">
        <w:rPr>
          <w:color w:val="000000"/>
          <w:szCs w:val="22"/>
          <w:lang w:eastAsia="pl-PL"/>
        </w:rPr>
        <w:t>.</w:t>
      </w:r>
    </w:p>
    <w:p w14:paraId="656EF319" w14:textId="77777777" w:rsidR="006161D0" w:rsidRPr="003978CF" w:rsidRDefault="006161D0" w:rsidP="006161D0"/>
    <w:p w14:paraId="6C70F2CD" w14:textId="77777777" w:rsidR="001D29E6" w:rsidRPr="003978CF" w:rsidRDefault="001D29E6" w:rsidP="000C1913">
      <w:pPr>
        <w:ind w:left="567" w:hanging="567"/>
      </w:pPr>
      <w:r w:rsidRPr="003978CF">
        <w:rPr>
          <w:b/>
        </w:rPr>
        <w:t>4.6</w:t>
      </w:r>
      <w:r w:rsidRPr="003978CF">
        <w:rPr>
          <w:b/>
        </w:rPr>
        <w:tab/>
      </w:r>
      <w:r w:rsidR="004B71A6" w:rsidRPr="003978CF">
        <w:rPr>
          <w:b/>
          <w:szCs w:val="22"/>
        </w:rPr>
        <w:t>Фертилитет, бременност и кърмене</w:t>
      </w:r>
    </w:p>
    <w:p w14:paraId="441F91D1" w14:textId="77777777" w:rsidR="00D327DF" w:rsidRPr="003978CF" w:rsidRDefault="00D327DF" w:rsidP="000C1913">
      <w:pPr>
        <w:rPr>
          <w:i/>
        </w:rPr>
      </w:pPr>
    </w:p>
    <w:p w14:paraId="0A29D5C5" w14:textId="77777777" w:rsidR="00C53ACC" w:rsidRPr="003978CF" w:rsidRDefault="004B71A6" w:rsidP="000C1913">
      <w:pPr>
        <w:tabs>
          <w:tab w:val="clear" w:pos="567"/>
        </w:tabs>
        <w:spacing w:line="240" w:lineRule="auto"/>
        <w:rPr>
          <w:szCs w:val="22"/>
          <w:u w:val="single"/>
        </w:rPr>
      </w:pPr>
      <w:r w:rsidRPr="003978CF">
        <w:rPr>
          <w:szCs w:val="22"/>
          <w:u w:val="single"/>
        </w:rPr>
        <w:t>Бременност</w:t>
      </w:r>
    </w:p>
    <w:p w14:paraId="01FAAE0D" w14:textId="77777777" w:rsidR="008F28DD" w:rsidRPr="003978CF" w:rsidRDefault="007277CB" w:rsidP="008F28DD">
      <w:pPr>
        <w:tabs>
          <w:tab w:val="clear" w:pos="567"/>
        </w:tabs>
        <w:spacing w:line="240" w:lineRule="auto"/>
        <w:rPr>
          <w:i/>
          <w:szCs w:val="22"/>
        </w:rPr>
      </w:pPr>
      <w:r w:rsidRPr="003978CF">
        <w:rPr>
          <w:i/>
          <w:szCs w:val="22"/>
        </w:rPr>
        <w:t xml:space="preserve">Ниски дози </w:t>
      </w:r>
      <w:r w:rsidR="008F28DD" w:rsidRPr="003978CF">
        <w:rPr>
          <w:i/>
          <w:szCs w:val="22"/>
        </w:rPr>
        <w:t>(</w:t>
      </w:r>
      <w:r w:rsidRPr="003978CF">
        <w:rPr>
          <w:i/>
          <w:szCs w:val="22"/>
        </w:rPr>
        <w:t>до</w:t>
      </w:r>
      <w:r w:rsidR="008F28DD" w:rsidRPr="003978CF">
        <w:rPr>
          <w:i/>
          <w:szCs w:val="22"/>
        </w:rPr>
        <w:t xml:space="preserve"> 100 mg</w:t>
      </w:r>
      <w:r w:rsidRPr="003978CF">
        <w:rPr>
          <w:i/>
          <w:szCs w:val="22"/>
        </w:rPr>
        <w:t xml:space="preserve"> </w:t>
      </w:r>
      <w:r w:rsidR="00237E09" w:rsidRPr="003978CF">
        <w:rPr>
          <w:i/>
          <w:szCs w:val="22"/>
        </w:rPr>
        <w:t>на ден</w:t>
      </w:r>
      <w:r w:rsidR="008F28DD" w:rsidRPr="003978CF">
        <w:rPr>
          <w:i/>
          <w:szCs w:val="22"/>
        </w:rPr>
        <w:t>):</w:t>
      </w:r>
    </w:p>
    <w:p w14:paraId="08F3E724" w14:textId="27CA02A1" w:rsidR="008F28DD" w:rsidRPr="003978CF" w:rsidRDefault="00237E09" w:rsidP="008F28DD">
      <w:pPr>
        <w:tabs>
          <w:tab w:val="clear" w:pos="567"/>
        </w:tabs>
        <w:spacing w:line="240" w:lineRule="auto"/>
        <w:rPr>
          <w:szCs w:val="22"/>
        </w:rPr>
      </w:pPr>
      <w:r w:rsidRPr="003978CF">
        <w:rPr>
          <w:szCs w:val="22"/>
        </w:rPr>
        <w:t>Клиничните проучвания показват, че дози до 100 mg на ден, за ограничена употреба в акушерството, изискваща специализирано наблюдение, са безопасни</w:t>
      </w:r>
      <w:r w:rsidR="008F28DD" w:rsidRPr="003978CF">
        <w:rPr>
          <w:szCs w:val="22"/>
        </w:rPr>
        <w:t>.</w:t>
      </w:r>
    </w:p>
    <w:p w14:paraId="0FF70F53" w14:textId="77777777" w:rsidR="008F28DD" w:rsidRPr="003978CF" w:rsidRDefault="008F28DD" w:rsidP="008F28DD">
      <w:pPr>
        <w:tabs>
          <w:tab w:val="clear" w:pos="567"/>
        </w:tabs>
        <w:spacing w:line="240" w:lineRule="auto"/>
        <w:rPr>
          <w:szCs w:val="22"/>
          <w:u w:val="single"/>
        </w:rPr>
      </w:pPr>
    </w:p>
    <w:p w14:paraId="141392F3" w14:textId="0BD3A233" w:rsidR="008F28DD" w:rsidRPr="003978CF" w:rsidRDefault="007277CB" w:rsidP="008F28DD">
      <w:pPr>
        <w:tabs>
          <w:tab w:val="clear" w:pos="567"/>
        </w:tabs>
        <w:spacing w:line="240" w:lineRule="auto"/>
        <w:rPr>
          <w:i/>
          <w:szCs w:val="22"/>
          <w:u w:val="single"/>
        </w:rPr>
      </w:pPr>
      <w:r w:rsidRPr="003978CF">
        <w:rPr>
          <w:i/>
          <w:szCs w:val="22"/>
          <w:u w:val="single"/>
        </w:rPr>
        <w:t>Дози от 100 до</w:t>
      </w:r>
      <w:r w:rsidR="008F28DD" w:rsidRPr="003978CF">
        <w:rPr>
          <w:i/>
          <w:szCs w:val="22"/>
          <w:u w:val="single"/>
        </w:rPr>
        <w:t xml:space="preserve"> 500 </w:t>
      </w:r>
      <w:r w:rsidRPr="003978CF">
        <w:rPr>
          <w:i/>
          <w:szCs w:val="22"/>
          <w:u w:val="single"/>
        </w:rPr>
        <w:t xml:space="preserve">mg </w:t>
      </w:r>
      <w:r w:rsidR="00237E09" w:rsidRPr="003978CF">
        <w:rPr>
          <w:i/>
          <w:szCs w:val="22"/>
          <w:u w:val="single"/>
        </w:rPr>
        <w:t>на ден</w:t>
      </w:r>
      <w:r w:rsidR="008F28DD" w:rsidRPr="003978CF">
        <w:rPr>
          <w:i/>
          <w:szCs w:val="22"/>
          <w:u w:val="single"/>
        </w:rPr>
        <w:t>:</w:t>
      </w:r>
    </w:p>
    <w:p w14:paraId="4DF93A86" w14:textId="51022B7C" w:rsidR="008F28DD" w:rsidRPr="003978CF" w:rsidRDefault="00237E09" w:rsidP="008F28DD">
      <w:pPr>
        <w:tabs>
          <w:tab w:val="clear" w:pos="567"/>
        </w:tabs>
        <w:spacing w:line="240" w:lineRule="auto"/>
        <w:rPr>
          <w:szCs w:val="22"/>
        </w:rPr>
      </w:pPr>
      <w:r w:rsidRPr="003978CF">
        <w:rPr>
          <w:szCs w:val="22"/>
        </w:rPr>
        <w:t>Има достатъчно клиничен опит по отношение на използването на дози над 100 mg на ден до 500 mg дневно. Ето защо, препоръките по-долу за дози от 500 mg дневно и по-високи са приложими също и за този дозов интервал</w:t>
      </w:r>
      <w:r w:rsidR="008F28DD" w:rsidRPr="003978CF">
        <w:rPr>
          <w:szCs w:val="22"/>
        </w:rPr>
        <w:t>.</w:t>
      </w:r>
    </w:p>
    <w:p w14:paraId="6D46F863" w14:textId="77777777" w:rsidR="008F28DD" w:rsidRPr="003978CF" w:rsidRDefault="008F28DD" w:rsidP="008F28DD">
      <w:pPr>
        <w:tabs>
          <w:tab w:val="clear" w:pos="567"/>
        </w:tabs>
        <w:spacing w:line="240" w:lineRule="auto"/>
        <w:rPr>
          <w:szCs w:val="22"/>
        </w:rPr>
      </w:pPr>
    </w:p>
    <w:p w14:paraId="56B3DE0E" w14:textId="5B4B0D49" w:rsidR="008F28DD" w:rsidRPr="003978CF" w:rsidRDefault="007277CB" w:rsidP="008F28DD">
      <w:pPr>
        <w:tabs>
          <w:tab w:val="clear" w:pos="567"/>
        </w:tabs>
        <w:spacing w:line="240" w:lineRule="auto"/>
        <w:rPr>
          <w:i/>
          <w:szCs w:val="22"/>
          <w:u w:val="single"/>
        </w:rPr>
      </w:pPr>
      <w:r w:rsidRPr="003978CF">
        <w:rPr>
          <w:i/>
          <w:szCs w:val="22"/>
          <w:u w:val="single"/>
        </w:rPr>
        <w:t>Дози от</w:t>
      </w:r>
      <w:r w:rsidR="008F28DD" w:rsidRPr="003978CF">
        <w:rPr>
          <w:i/>
          <w:szCs w:val="22"/>
          <w:u w:val="single"/>
        </w:rPr>
        <w:t xml:space="preserve"> 500 </w:t>
      </w:r>
      <w:r w:rsidRPr="003978CF">
        <w:rPr>
          <w:i/>
          <w:szCs w:val="22"/>
          <w:u w:val="single"/>
        </w:rPr>
        <w:t xml:space="preserve">mg </w:t>
      </w:r>
      <w:r w:rsidR="00237E09" w:rsidRPr="003978CF">
        <w:rPr>
          <w:i/>
          <w:szCs w:val="22"/>
          <w:u w:val="single"/>
        </w:rPr>
        <w:t>на ден</w:t>
      </w:r>
      <w:r w:rsidRPr="003978CF">
        <w:rPr>
          <w:i/>
          <w:szCs w:val="22"/>
          <w:u w:val="single"/>
        </w:rPr>
        <w:t xml:space="preserve"> и по-</w:t>
      </w:r>
      <w:r w:rsidR="003978CF" w:rsidRPr="003978CF">
        <w:rPr>
          <w:i/>
          <w:szCs w:val="22"/>
          <w:u w:val="single"/>
        </w:rPr>
        <w:t>високи</w:t>
      </w:r>
      <w:r w:rsidR="008F28DD" w:rsidRPr="003978CF">
        <w:rPr>
          <w:i/>
          <w:szCs w:val="22"/>
          <w:u w:val="single"/>
        </w:rPr>
        <w:t>:</w:t>
      </w:r>
    </w:p>
    <w:p w14:paraId="4D5AB519" w14:textId="6949902B" w:rsidR="006161D0" w:rsidRPr="003978CF" w:rsidRDefault="00770729" w:rsidP="006161D0">
      <w:pPr>
        <w:pStyle w:val="Default"/>
        <w:rPr>
          <w:color w:val="000000"/>
          <w:sz w:val="22"/>
          <w:szCs w:val="22"/>
          <w:lang w:val="bg-BG" w:eastAsia="pl-PL"/>
        </w:rPr>
      </w:pPr>
      <w:r w:rsidRPr="003978CF">
        <w:rPr>
          <w:sz w:val="22"/>
          <w:szCs w:val="22"/>
          <w:lang w:val="bg-BG"/>
        </w:rPr>
        <w:t xml:space="preserve">Инхибирането на синтеза на простагландини може да окаже неблагоприятно влияние върху бременността и/или ембрионалното/феталното развитие. Данните от епидемиологични изследвания показват повишен риск от спонтанен аборт, както и от сърдечни малформации и гастросхиза след използване на инхибитор на простагландиновия синтез в ранна фаза на бременността. Абсолютният риск от </w:t>
      </w:r>
      <w:r w:rsidR="003978CF" w:rsidRPr="003978CF">
        <w:rPr>
          <w:sz w:val="22"/>
          <w:szCs w:val="22"/>
          <w:lang w:val="bg-BG"/>
        </w:rPr>
        <w:t>сърдечносъдови</w:t>
      </w:r>
      <w:r w:rsidRPr="003978CF">
        <w:rPr>
          <w:sz w:val="22"/>
          <w:szCs w:val="22"/>
          <w:lang w:val="bg-BG"/>
        </w:rPr>
        <w:t xml:space="preserve"> малформации се увеличава от по-малко от 1% до около 1</w:t>
      </w:r>
      <w:r w:rsidR="00AB1EFD" w:rsidRPr="003978CF">
        <w:rPr>
          <w:sz w:val="22"/>
          <w:szCs w:val="22"/>
          <w:lang w:val="bg-BG"/>
        </w:rPr>
        <w:t>,</w:t>
      </w:r>
      <w:r w:rsidRPr="003978CF">
        <w:rPr>
          <w:sz w:val="22"/>
          <w:szCs w:val="22"/>
          <w:lang w:val="bg-BG"/>
        </w:rPr>
        <w:t>5%. Смята се, че рискът се повишава с увеличаване на дозата и продължителността на лечението</w:t>
      </w:r>
      <w:r w:rsidR="006161D0" w:rsidRPr="003978CF">
        <w:rPr>
          <w:color w:val="000000"/>
          <w:sz w:val="22"/>
          <w:szCs w:val="22"/>
          <w:lang w:val="bg-BG" w:eastAsia="pl-PL"/>
        </w:rPr>
        <w:t>.</w:t>
      </w:r>
    </w:p>
    <w:p w14:paraId="2BE25D25" w14:textId="77777777" w:rsidR="006161D0" w:rsidRPr="003978CF" w:rsidRDefault="00445444" w:rsidP="006161D0">
      <w:pPr>
        <w:tabs>
          <w:tab w:val="clear" w:pos="567"/>
        </w:tabs>
        <w:spacing w:line="240" w:lineRule="auto"/>
        <w:rPr>
          <w:color w:val="000000"/>
          <w:szCs w:val="22"/>
          <w:lang w:eastAsia="pl-PL"/>
        </w:rPr>
      </w:pPr>
      <w:r w:rsidRPr="003978CF">
        <w:rPr>
          <w:color w:val="000000"/>
          <w:szCs w:val="22"/>
          <w:lang w:eastAsia="pl-PL"/>
        </w:rPr>
        <w:t xml:space="preserve">Доказано е, че приложението на инхибитори на простагландиновия синтез при животни води до повишена пре- и постимплантационна загуба и ембрио-фетален леталитет. В допълнение, повишените честоти на различни малформации, включително </w:t>
      </w:r>
      <w:r w:rsidR="003978CF" w:rsidRPr="003978CF">
        <w:rPr>
          <w:color w:val="000000"/>
          <w:szCs w:val="22"/>
          <w:lang w:eastAsia="pl-PL"/>
        </w:rPr>
        <w:t>сърдечносъдови</w:t>
      </w:r>
      <w:r w:rsidRPr="003978CF">
        <w:rPr>
          <w:color w:val="000000"/>
          <w:szCs w:val="22"/>
          <w:lang w:eastAsia="pl-PL"/>
        </w:rPr>
        <w:t xml:space="preserve">, са били </w:t>
      </w:r>
      <w:r w:rsidRPr="003978CF">
        <w:rPr>
          <w:color w:val="000000"/>
          <w:szCs w:val="22"/>
          <w:lang w:eastAsia="pl-PL"/>
        </w:rPr>
        <w:lastRenderedPageBreak/>
        <w:t>докладвани при животни, на които е бил даден инхибитор на простагландиновия синтез по време на периода на органогенезата. Ацетилсалицилова киселина не трябва да се дава по време на първия и втория триместър на бременността, освен ако не е абсолютно необходимо. Ако ацетилсалицилова киселина се използва от жена, опитваща се да забременее, или по време на първия и втория триместър на бременността, дозата трябва да се поддържа възможно най-ниска, а продължителността на лечението възможно най-кратка</w:t>
      </w:r>
      <w:r w:rsidR="006161D0" w:rsidRPr="003978CF">
        <w:rPr>
          <w:color w:val="000000"/>
          <w:szCs w:val="22"/>
          <w:lang w:eastAsia="pl-PL"/>
        </w:rPr>
        <w:t>.</w:t>
      </w:r>
    </w:p>
    <w:p w14:paraId="261C1ED9" w14:textId="77777777" w:rsidR="009B6583" w:rsidRPr="003978CF" w:rsidRDefault="009B6583" w:rsidP="006161D0">
      <w:pPr>
        <w:tabs>
          <w:tab w:val="clear" w:pos="567"/>
        </w:tabs>
        <w:spacing w:line="240" w:lineRule="auto"/>
        <w:rPr>
          <w:szCs w:val="22"/>
          <w:u w:val="single"/>
        </w:rPr>
      </w:pPr>
    </w:p>
    <w:p w14:paraId="1FD82C79" w14:textId="462CBBFB" w:rsidR="006161D0" w:rsidRPr="003978CF" w:rsidRDefault="004B1D98" w:rsidP="006161D0">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По време на третия триместър на бременността, всички инхибитори на простагландиновия синтез могат да изложат фетуса на</w:t>
      </w:r>
      <w:r w:rsidR="006161D0" w:rsidRPr="003978CF">
        <w:rPr>
          <w:color w:val="000000"/>
          <w:szCs w:val="22"/>
          <w:lang w:eastAsia="pl-PL"/>
        </w:rPr>
        <w:t>:</w:t>
      </w:r>
    </w:p>
    <w:p w14:paraId="432ED5EE" w14:textId="77777777" w:rsidR="006161D0" w:rsidRPr="003978CF" w:rsidRDefault="006161D0" w:rsidP="006161D0">
      <w:pPr>
        <w:autoSpaceDE w:val="0"/>
        <w:autoSpaceDN w:val="0"/>
        <w:adjustRightInd w:val="0"/>
        <w:spacing w:line="240" w:lineRule="auto"/>
        <w:ind w:left="567" w:hanging="567"/>
        <w:rPr>
          <w:color w:val="000000"/>
          <w:szCs w:val="22"/>
          <w:lang w:eastAsia="pl-PL"/>
        </w:rPr>
      </w:pPr>
      <w:r w:rsidRPr="003978CF">
        <w:rPr>
          <w:color w:val="000000"/>
          <w:szCs w:val="22"/>
          <w:lang w:eastAsia="pl-PL"/>
        </w:rPr>
        <w:t>-</w:t>
      </w:r>
      <w:r w:rsidRPr="003978CF">
        <w:rPr>
          <w:color w:val="000000"/>
          <w:szCs w:val="22"/>
          <w:lang w:eastAsia="pl-PL"/>
        </w:rPr>
        <w:tab/>
      </w:r>
      <w:r w:rsidR="004B1D98" w:rsidRPr="003978CF">
        <w:rPr>
          <w:color w:val="000000"/>
          <w:szCs w:val="22"/>
          <w:lang w:eastAsia="pl-PL"/>
        </w:rPr>
        <w:t>кардиопулмонална токсичност (с преждевременно затваряне на дуктус артериозус и белодробна хипертония)</w:t>
      </w:r>
      <w:r w:rsidRPr="003978CF">
        <w:rPr>
          <w:color w:val="000000"/>
          <w:szCs w:val="22"/>
          <w:lang w:eastAsia="pl-PL"/>
        </w:rPr>
        <w:t>;</w:t>
      </w:r>
    </w:p>
    <w:p w14:paraId="76D1D93C" w14:textId="3D345769" w:rsidR="006161D0" w:rsidRPr="003978CF" w:rsidRDefault="006161D0" w:rsidP="004B1D98">
      <w:pPr>
        <w:tabs>
          <w:tab w:val="clear" w:pos="567"/>
        </w:tabs>
        <w:autoSpaceDE w:val="0"/>
        <w:autoSpaceDN w:val="0"/>
        <w:adjustRightInd w:val="0"/>
        <w:spacing w:line="240" w:lineRule="auto"/>
        <w:ind w:left="567" w:hanging="567"/>
        <w:rPr>
          <w:color w:val="000000"/>
          <w:szCs w:val="22"/>
          <w:lang w:eastAsia="pl-PL"/>
        </w:rPr>
      </w:pPr>
      <w:r w:rsidRPr="003978CF">
        <w:rPr>
          <w:color w:val="000000"/>
          <w:szCs w:val="22"/>
          <w:lang w:eastAsia="pl-PL"/>
        </w:rPr>
        <w:t>-</w:t>
      </w:r>
      <w:r w:rsidRPr="003978CF">
        <w:rPr>
          <w:color w:val="000000"/>
          <w:szCs w:val="22"/>
          <w:lang w:eastAsia="pl-PL"/>
        </w:rPr>
        <w:tab/>
      </w:r>
      <w:r w:rsidR="004B1D98" w:rsidRPr="003978CF">
        <w:rPr>
          <w:color w:val="000000"/>
          <w:szCs w:val="22"/>
          <w:lang w:eastAsia="pl-PL"/>
        </w:rPr>
        <w:t>бъбречна дисфункция, която може да прогресира до бъбречна недостатъчност и олигохидрамнион</w:t>
      </w:r>
      <w:r w:rsidRPr="003978CF">
        <w:rPr>
          <w:color w:val="000000"/>
          <w:szCs w:val="22"/>
          <w:lang w:eastAsia="pl-PL"/>
        </w:rPr>
        <w:t>.</w:t>
      </w:r>
    </w:p>
    <w:p w14:paraId="6B87C177" w14:textId="77777777" w:rsidR="006161D0" w:rsidRPr="003978CF" w:rsidRDefault="006161D0" w:rsidP="006161D0">
      <w:pPr>
        <w:tabs>
          <w:tab w:val="clear" w:pos="567"/>
        </w:tabs>
        <w:autoSpaceDE w:val="0"/>
        <w:autoSpaceDN w:val="0"/>
        <w:adjustRightInd w:val="0"/>
        <w:spacing w:line="240" w:lineRule="auto"/>
        <w:rPr>
          <w:color w:val="000000"/>
          <w:szCs w:val="22"/>
          <w:lang w:eastAsia="pl-PL"/>
        </w:rPr>
      </w:pPr>
    </w:p>
    <w:p w14:paraId="5215D702" w14:textId="1C0A3F13" w:rsidR="006161D0" w:rsidRPr="003978CF" w:rsidRDefault="009103C2" w:rsidP="006161D0">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В края на бременността, всички простагландинови инхибитори могат да доведат до експозиция на майката и новороденото, изразена в</w:t>
      </w:r>
      <w:r w:rsidR="00BD1C7B" w:rsidRPr="003978CF">
        <w:rPr>
          <w:color w:val="000000"/>
          <w:szCs w:val="22"/>
          <w:lang w:eastAsia="pl-PL"/>
        </w:rPr>
        <w:t>ъв</w:t>
      </w:r>
      <w:r w:rsidR="006161D0" w:rsidRPr="003978CF">
        <w:rPr>
          <w:color w:val="000000"/>
          <w:szCs w:val="22"/>
          <w:lang w:eastAsia="pl-PL"/>
        </w:rPr>
        <w:t>:</w:t>
      </w:r>
    </w:p>
    <w:p w14:paraId="2AE64D68" w14:textId="77777777" w:rsidR="006161D0" w:rsidRPr="003978CF" w:rsidRDefault="006161D0" w:rsidP="006161D0">
      <w:pPr>
        <w:autoSpaceDE w:val="0"/>
        <w:autoSpaceDN w:val="0"/>
        <w:adjustRightInd w:val="0"/>
        <w:spacing w:line="240" w:lineRule="auto"/>
        <w:ind w:left="567" w:hanging="567"/>
        <w:rPr>
          <w:color w:val="000000"/>
          <w:szCs w:val="22"/>
          <w:lang w:eastAsia="pl-PL"/>
        </w:rPr>
      </w:pPr>
      <w:r w:rsidRPr="003978CF">
        <w:rPr>
          <w:color w:val="000000"/>
          <w:szCs w:val="22"/>
          <w:lang w:eastAsia="pl-PL"/>
        </w:rPr>
        <w:t>-</w:t>
      </w:r>
      <w:r w:rsidRPr="003978CF">
        <w:rPr>
          <w:color w:val="000000"/>
          <w:szCs w:val="22"/>
          <w:lang w:eastAsia="pl-PL"/>
        </w:rPr>
        <w:tab/>
      </w:r>
      <w:r w:rsidR="009103C2" w:rsidRPr="003978CF">
        <w:rPr>
          <w:color w:val="000000"/>
          <w:szCs w:val="22"/>
          <w:lang w:eastAsia="pl-PL"/>
        </w:rPr>
        <w:t>възможно удължаване на времето на кървене и антитромбоцитната активност, което може да се получи дори при много ниски дози</w:t>
      </w:r>
      <w:r w:rsidRPr="003978CF">
        <w:rPr>
          <w:color w:val="000000"/>
          <w:szCs w:val="22"/>
          <w:lang w:eastAsia="pl-PL"/>
        </w:rPr>
        <w:t>;</w:t>
      </w:r>
    </w:p>
    <w:p w14:paraId="603454EA" w14:textId="77777777" w:rsidR="006161D0" w:rsidRPr="003978CF" w:rsidRDefault="006161D0" w:rsidP="006161D0">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w:t>
      </w:r>
      <w:r w:rsidRPr="003978CF">
        <w:rPr>
          <w:color w:val="000000"/>
          <w:szCs w:val="22"/>
          <w:lang w:eastAsia="pl-PL"/>
        </w:rPr>
        <w:tab/>
      </w:r>
      <w:r w:rsidR="001600D2" w:rsidRPr="003978CF">
        <w:rPr>
          <w:color w:val="000000"/>
          <w:szCs w:val="22"/>
          <w:lang w:eastAsia="pl-PL"/>
        </w:rPr>
        <w:t>инхибиране на маточните контракции, водещо до забавено или удължено раждане</w:t>
      </w:r>
      <w:r w:rsidRPr="003978CF">
        <w:rPr>
          <w:color w:val="000000"/>
          <w:szCs w:val="22"/>
          <w:lang w:eastAsia="pl-PL"/>
        </w:rPr>
        <w:t>.</w:t>
      </w:r>
    </w:p>
    <w:p w14:paraId="52AA6F72" w14:textId="77777777" w:rsidR="006161D0" w:rsidRPr="003978CF" w:rsidRDefault="001600D2" w:rsidP="006161D0">
      <w:pPr>
        <w:tabs>
          <w:tab w:val="clear" w:pos="567"/>
        </w:tabs>
        <w:spacing w:line="240" w:lineRule="auto"/>
        <w:rPr>
          <w:color w:val="000000"/>
          <w:szCs w:val="22"/>
          <w:lang w:eastAsia="pl-PL"/>
        </w:rPr>
      </w:pPr>
      <w:r w:rsidRPr="003978CF">
        <w:rPr>
          <w:color w:val="000000"/>
          <w:szCs w:val="22"/>
          <w:lang w:eastAsia="pl-PL"/>
        </w:rPr>
        <w:t>Следователно ацетилсалициловата киселина е противопоказана през третия триместър на бременността</w:t>
      </w:r>
      <w:r w:rsidR="006161D0" w:rsidRPr="003978CF">
        <w:rPr>
          <w:color w:val="000000"/>
          <w:szCs w:val="22"/>
          <w:lang w:eastAsia="pl-PL"/>
        </w:rPr>
        <w:t>.</w:t>
      </w:r>
    </w:p>
    <w:p w14:paraId="6F824B77" w14:textId="77777777" w:rsidR="00305E5A" w:rsidRPr="003978CF" w:rsidRDefault="00305E5A" w:rsidP="006161D0">
      <w:pPr>
        <w:tabs>
          <w:tab w:val="clear" w:pos="567"/>
        </w:tabs>
        <w:spacing w:line="240" w:lineRule="auto"/>
        <w:rPr>
          <w:szCs w:val="22"/>
          <w:u w:val="single"/>
        </w:rPr>
      </w:pPr>
    </w:p>
    <w:p w14:paraId="74961960" w14:textId="77777777" w:rsidR="00C53ACC" w:rsidRPr="003978CF" w:rsidRDefault="004B71A6" w:rsidP="000C1913">
      <w:pPr>
        <w:tabs>
          <w:tab w:val="clear" w:pos="567"/>
        </w:tabs>
        <w:spacing w:line="240" w:lineRule="auto"/>
        <w:rPr>
          <w:szCs w:val="22"/>
          <w:u w:val="single"/>
        </w:rPr>
      </w:pPr>
      <w:r w:rsidRPr="003978CF">
        <w:rPr>
          <w:szCs w:val="22"/>
          <w:u w:val="single"/>
        </w:rPr>
        <w:t>Кърмене</w:t>
      </w:r>
    </w:p>
    <w:p w14:paraId="3D586F89" w14:textId="77777777" w:rsidR="006161D0" w:rsidRPr="003978CF" w:rsidRDefault="001600D2" w:rsidP="000C1913">
      <w:pPr>
        <w:tabs>
          <w:tab w:val="clear" w:pos="567"/>
        </w:tabs>
        <w:spacing w:line="240" w:lineRule="auto"/>
        <w:rPr>
          <w:szCs w:val="22"/>
          <w:u w:val="single"/>
        </w:rPr>
      </w:pPr>
      <w:r w:rsidRPr="003978CF">
        <w:rPr>
          <w:szCs w:val="22"/>
        </w:rPr>
        <w:t xml:space="preserve">Тъй като </w:t>
      </w:r>
      <w:r w:rsidRPr="003978CF">
        <w:rPr>
          <w:color w:val="000000"/>
          <w:szCs w:val="22"/>
          <w:lang w:eastAsia="pl-PL"/>
        </w:rPr>
        <w:t>ацетилсалициловата киселина</w:t>
      </w:r>
      <w:r w:rsidRPr="003978CF">
        <w:rPr>
          <w:szCs w:val="22"/>
        </w:rPr>
        <w:t xml:space="preserve"> се отделя в майчиното мляко, тя не трябва да се приема от майки, които кърмят, поради съществуващия риск от синдром на Рей при детето. Високи дози при майката могат да нарушат функцията на тромбоцитите при детето</w:t>
      </w:r>
      <w:r w:rsidR="006161D0" w:rsidRPr="003978CF">
        <w:rPr>
          <w:szCs w:val="22"/>
        </w:rPr>
        <w:t>.</w:t>
      </w:r>
    </w:p>
    <w:p w14:paraId="04BBB7C2" w14:textId="77777777" w:rsidR="001D29E6" w:rsidRPr="003978CF" w:rsidRDefault="001D29E6" w:rsidP="000C1913">
      <w:pPr>
        <w:ind w:left="567" w:hanging="567"/>
      </w:pPr>
    </w:p>
    <w:p w14:paraId="308550EA" w14:textId="77777777" w:rsidR="000B21EB" w:rsidRPr="003978CF" w:rsidRDefault="004B71A6" w:rsidP="000C1913">
      <w:pPr>
        <w:ind w:left="567" w:hanging="567"/>
        <w:rPr>
          <w:u w:val="single"/>
        </w:rPr>
      </w:pPr>
      <w:r w:rsidRPr="003978CF">
        <w:rPr>
          <w:szCs w:val="22"/>
          <w:u w:val="single"/>
        </w:rPr>
        <w:t>Фертилитет</w:t>
      </w:r>
    </w:p>
    <w:p w14:paraId="057DE6C5" w14:textId="77777777" w:rsidR="000B21EB" w:rsidRPr="003978CF" w:rsidRDefault="00CF305B" w:rsidP="00CF305B">
      <w:pPr>
        <w:tabs>
          <w:tab w:val="clear" w:pos="567"/>
          <w:tab w:val="left" w:pos="0"/>
        </w:tabs>
      </w:pPr>
      <w:r w:rsidRPr="003978CF">
        <w:t>Не са провеждани контролирани проучвания по отношение на потенциалния ефект на ацетилсалициловата киселина върху фертилитета</w:t>
      </w:r>
      <w:r w:rsidR="000B21EB" w:rsidRPr="003978CF">
        <w:t>.</w:t>
      </w:r>
    </w:p>
    <w:p w14:paraId="4A0ACB2A" w14:textId="77777777" w:rsidR="000B21EB" w:rsidRPr="003978CF" w:rsidRDefault="000B21EB" w:rsidP="000C1913">
      <w:pPr>
        <w:ind w:left="567" w:hanging="567"/>
      </w:pPr>
    </w:p>
    <w:p w14:paraId="1B20DB8F" w14:textId="77777777" w:rsidR="001D29E6" w:rsidRPr="003978CF" w:rsidRDefault="001D29E6" w:rsidP="000C1913">
      <w:pPr>
        <w:ind w:left="567" w:hanging="567"/>
      </w:pPr>
      <w:r w:rsidRPr="003978CF">
        <w:rPr>
          <w:b/>
        </w:rPr>
        <w:t>4.7</w:t>
      </w:r>
      <w:r w:rsidRPr="003978CF">
        <w:rPr>
          <w:b/>
        </w:rPr>
        <w:tab/>
      </w:r>
      <w:r w:rsidR="004B71A6" w:rsidRPr="003978CF">
        <w:rPr>
          <w:b/>
          <w:szCs w:val="22"/>
        </w:rPr>
        <w:t>Ефекти върху способността за шофиране и работа с машини</w:t>
      </w:r>
    </w:p>
    <w:p w14:paraId="5693B37F" w14:textId="77777777" w:rsidR="001D29E6" w:rsidRPr="003978CF" w:rsidRDefault="001D29E6" w:rsidP="000C1913"/>
    <w:p w14:paraId="7B59F1F7" w14:textId="77777777" w:rsidR="006161D0" w:rsidRPr="003978CF" w:rsidRDefault="004B71A6" w:rsidP="000C1913">
      <w:r w:rsidRPr="003978CF">
        <w:rPr>
          <w:szCs w:val="22"/>
        </w:rPr>
        <w:t xml:space="preserve">Ацетилсалицилова киселина не </w:t>
      </w:r>
      <w:r w:rsidR="00740EF2" w:rsidRPr="003978CF">
        <w:rPr>
          <w:szCs w:val="22"/>
        </w:rPr>
        <w:t>повлиява</w:t>
      </w:r>
      <w:r w:rsidRPr="003978CF">
        <w:rPr>
          <w:szCs w:val="22"/>
        </w:rPr>
        <w:t xml:space="preserve"> способността за шофиране или работа с машини</w:t>
      </w:r>
      <w:r w:rsidR="006161D0" w:rsidRPr="003978CF">
        <w:rPr>
          <w:szCs w:val="22"/>
        </w:rPr>
        <w:t>.</w:t>
      </w:r>
    </w:p>
    <w:p w14:paraId="44A480F9" w14:textId="77777777" w:rsidR="001D29E6" w:rsidRPr="003978CF" w:rsidRDefault="001D29E6" w:rsidP="000C1913"/>
    <w:p w14:paraId="75F4AE30" w14:textId="77777777" w:rsidR="001D29E6" w:rsidRPr="003978CF" w:rsidRDefault="004B71A6" w:rsidP="000C1913">
      <w:pPr>
        <w:numPr>
          <w:ilvl w:val="1"/>
          <w:numId w:val="10"/>
        </w:numPr>
        <w:rPr>
          <w:b/>
        </w:rPr>
      </w:pPr>
      <w:r w:rsidRPr="003978CF">
        <w:rPr>
          <w:b/>
          <w:szCs w:val="22"/>
        </w:rPr>
        <w:t>Нежелани лекарствени реакции</w:t>
      </w:r>
    </w:p>
    <w:p w14:paraId="46CB708E" w14:textId="77777777" w:rsidR="001D29E6" w:rsidRPr="003978CF" w:rsidRDefault="001D29E6" w:rsidP="000C1913"/>
    <w:p w14:paraId="05A9E104" w14:textId="77777777" w:rsidR="007E3DB1" w:rsidRPr="003978CF" w:rsidRDefault="00E66174" w:rsidP="007E3DB1">
      <w:pPr>
        <w:rPr>
          <w:szCs w:val="22"/>
        </w:rPr>
      </w:pPr>
      <w:r w:rsidRPr="003978CF">
        <w:rPr>
          <w:szCs w:val="22"/>
        </w:rPr>
        <w:t>Нежеланите лекарствени реакции са групирани въз основа на системо-органните класове. В рамките на всеки системно-органен клас честотите са дефинирани като: много чести (≥1/</w:t>
      </w:r>
      <w:r w:rsidR="00BD1C7B" w:rsidRPr="003978CF">
        <w:rPr>
          <w:szCs w:val="22"/>
        </w:rPr>
        <w:t>10), чести (≥1</w:t>
      </w:r>
      <w:r w:rsidRPr="003978CF">
        <w:rPr>
          <w:szCs w:val="22"/>
        </w:rPr>
        <w:t>/100 до &lt;1/10), нечести (≥1/1 000 до &lt;1/100), редки (≥1/10 000 до &lt;1/1000); много редки (&lt;1/10,000), с неизвестна честота (не може да бъде оценена от наличните данни).</w:t>
      </w:r>
    </w:p>
    <w:p w14:paraId="6129F95E" w14:textId="77777777" w:rsidR="00002AF7" w:rsidRPr="003978CF" w:rsidRDefault="00002AF7" w:rsidP="007E3DB1">
      <w:pPr>
        <w:rPr>
          <w:szCs w:val="22"/>
          <w:u w:val="single"/>
        </w:rPr>
      </w:pPr>
    </w:p>
    <w:p w14:paraId="22507DB7" w14:textId="77777777" w:rsidR="00002AF7" w:rsidRPr="003978CF" w:rsidRDefault="006E0548" w:rsidP="00002AF7">
      <w:pPr>
        <w:tabs>
          <w:tab w:val="clear" w:pos="567"/>
        </w:tabs>
        <w:autoSpaceDE w:val="0"/>
        <w:autoSpaceDN w:val="0"/>
        <w:adjustRightInd w:val="0"/>
        <w:spacing w:line="240" w:lineRule="auto"/>
        <w:rPr>
          <w:b/>
          <w:color w:val="000000"/>
          <w:szCs w:val="22"/>
          <w:lang w:eastAsia="pl-PL"/>
        </w:rPr>
      </w:pPr>
      <w:r w:rsidRPr="003978CF">
        <w:rPr>
          <w:b/>
          <w:color w:val="000000"/>
          <w:szCs w:val="22"/>
          <w:lang w:eastAsia="pl-PL"/>
        </w:rPr>
        <w:t>Нарушения на кръвта и лимфната система</w:t>
      </w:r>
    </w:p>
    <w:p w14:paraId="04F3A4E9" w14:textId="77777777" w:rsidR="00002AF7" w:rsidRPr="003978CF" w:rsidRDefault="008303E9" w:rsidP="00002AF7">
      <w:pPr>
        <w:tabs>
          <w:tab w:val="clear" w:pos="567"/>
        </w:tabs>
        <w:autoSpaceDE w:val="0"/>
        <w:autoSpaceDN w:val="0"/>
        <w:adjustRightInd w:val="0"/>
        <w:spacing w:line="240" w:lineRule="auto"/>
        <w:rPr>
          <w:color w:val="000000"/>
          <w:szCs w:val="22"/>
          <w:lang w:eastAsia="pl-PL"/>
        </w:rPr>
      </w:pPr>
      <w:r w:rsidRPr="003978CF">
        <w:rPr>
          <w:i/>
          <w:color w:val="000000"/>
          <w:szCs w:val="22"/>
          <w:lang w:eastAsia="pl-PL"/>
        </w:rPr>
        <w:t>Редки</w:t>
      </w:r>
      <w:r w:rsidR="00212D40" w:rsidRPr="003978CF">
        <w:rPr>
          <w:color w:val="000000"/>
          <w:szCs w:val="22"/>
          <w:lang w:eastAsia="pl-PL"/>
        </w:rPr>
        <w:t>:</w:t>
      </w:r>
      <w:r w:rsidR="00002AF7" w:rsidRPr="003978CF">
        <w:rPr>
          <w:i/>
          <w:color w:val="000000"/>
          <w:szCs w:val="22"/>
          <w:lang w:eastAsia="pl-PL"/>
        </w:rPr>
        <w:t xml:space="preserve"> </w:t>
      </w:r>
      <w:r w:rsidR="008C145A" w:rsidRPr="003978CF">
        <w:rPr>
          <w:color w:val="000000"/>
          <w:szCs w:val="22"/>
          <w:lang w:eastAsia="pl-PL"/>
        </w:rPr>
        <w:t>тежко кървене, като например стомашно-чревен и вътречерепен кръвоизлив</w:t>
      </w:r>
      <w:r w:rsidR="00C518A9" w:rsidRPr="003978CF">
        <w:rPr>
          <w:color w:val="000000"/>
          <w:szCs w:val="22"/>
          <w:lang w:eastAsia="pl-PL"/>
        </w:rPr>
        <w:t>.</w:t>
      </w:r>
      <w:r w:rsidR="00002AF7" w:rsidRPr="003978CF">
        <w:rPr>
          <w:color w:val="000000"/>
          <w:szCs w:val="22"/>
          <w:lang w:eastAsia="pl-PL"/>
        </w:rPr>
        <w:t xml:space="preserve"> </w:t>
      </w:r>
    </w:p>
    <w:p w14:paraId="120A2071" w14:textId="77777777" w:rsidR="008C145A" w:rsidRPr="003978CF" w:rsidRDefault="008303E9" w:rsidP="008C145A">
      <w:pPr>
        <w:tabs>
          <w:tab w:val="clear" w:pos="567"/>
        </w:tabs>
        <w:autoSpaceDE w:val="0"/>
        <w:autoSpaceDN w:val="0"/>
        <w:adjustRightInd w:val="0"/>
        <w:spacing w:line="240" w:lineRule="auto"/>
        <w:rPr>
          <w:color w:val="000000"/>
          <w:szCs w:val="22"/>
          <w:lang w:eastAsia="pl-PL"/>
        </w:rPr>
      </w:pPr>
      <w:r w:rsidRPr="003978CF">
        <w:rPr>
          <w:i/>
          <w:szCs w:val="22"/>
        </w:rPr>
        <w:t>С неизвестна честота</w:t>
      </w:r>
      <w:r w:rsidR="00AB531D" w:rsidRPr="003978CF">
        <w:rPr>
          <w:szCs w:val="22"/>
        </w:rPr>
        <w:t xml:space="preserve">: </w:t>
      </w:r>
      <w:r w:rsidR="008C145A" w:rsidRPr="003978CF">
        <w:rPr>
          <w:color w:val="000000"/>
          <w:szCs w:val="22"/>
          <w:lang w:eastAsia="pl-PL"/>
        </w:rPr>
        <w:t>повишен риск от кървене, удължаване на времето на кървене, тромбоцитопения.</w:t>
      </w:r>
    </w:p>
    <w:p w14:paraId="298B3F75" w14:textId="77777777" w:rsidR="00AB531D" w:rsidRPr="003978CF" w:rsidRDefault="008C145A" w:rsidP="008C145A">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Наблюдавано е кървене, например периоперативна хеморагия, хематом, епистаксис, урогенитално кървене, кървене от венците</w:t>
      </w:r>
      <w:r w:rsidR="00AB531D" w:rsidRPr="003978CF">
        <w:rPr>
          <w:color w:val="000000"/>
          <w:szCs w:val="22"/>
          <w:lang w:eastAsia="pl-PL"/>
        </w:rPr>
        <w:t>.</w:t>
      </w:r>
    </w:p>
    <w:p w14:paraId="5E0E2C04" w14:textId="77777777" w:rsidR="00AB531D" w:rsidRPr="003978CF" w:rsidRDefault="008C145A" w:rsidP="00AB531D">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Кървенето може да доведе до остра или хрон</w:t>
      </w:r>
      <w:r w:rsidR="00BD1C7B" w:rsidRPr="003978CF">
        <w:rPr>
          <w:color w:val="000000"/>
          <w:szCs w:val="22"/>
          <w:lang w:eastAsia="pl-PL"/>
        </w:rPr>
        <w:t>ична анемия поради кръвоизлив и/</w:t>
      </w:r>
      <w:r w:rsidRPr="003978CF">
        <w:rPr>
          <w:color w:val="000000"/>
          <w:szCs w:val="22"/>
          <w:lang w:eastAsia="pl-PL"/>
        </w:rPr>
        <w:t>или желязодефицитна анемия (например в резултат на окултни микрокръвоизливи), характеризиращи се с лабораторни и клинични признаци като слабост, бледост, хипоперфузия. Хемолитична анемия може да се появи при пациенти с глюкозо-6-фосфат дехидрогеназен (G6PDD) дефицит</w:t>
      </w:r>
      <w:r w:rsidR="00AB531D" w:rsidRPr="003978CF">
        <w:rPr>
          <w:color w:val="000000"/>
          <w:szCs w:val="22"/>
          <w:lang w:eastAsia="pl-PL"/>
        </w:rPr>
        <w:t>.</w:t>
      </w:r>
    </w:p>
    <w:p w14:paraId="60BB7E5A" w14:textId="77777777" w:rsidR="00002AF7" w:rsidRPr="003978CF" w:rsidRDefault="00002AF7" w:rsidP="00002AF7">
      <w:pPr>
        <w:tabs>
          <w:tab w:val="clear" w:pos="567"/>
        </w:tabs>
        <w:autoSpaceDE w:val="0"/>
        <w:autoSpaceDN w:val="0"/>
        <w:adjustRightInd w:val="0"/>
        <w:spacing w:line="240" w:lineRule="auto"/>
        <w:rPr>
          <w:color w:val="000000"/>
          <w:szCs w:val="22"/>
          <w:lang w:eastAsia="pl-PL"/>
        </w:rPr>
      </w:pPr>
    </w:p>
    <w:p w14:paraId="13EB27ED" w14:textId="77777777" w:rsidR="00002AF7" w:rsidRPr="003978CF" w:rsidRDefault="009D5404" w:rsidP="007E1076">
      <w:pPr>
        <w:keepNext/>
        <w:tabs>
          <w:tab w:val="clear" w:pos="567"/>
        </w:tabs>
        <w:autoSpaceDE w:val="0"/>
        <w:autoSpaceDN w:val="0"/>
        <w:adjustRightInd w:val="0"/>
        <w:spacing w:line="240" w:lineRule="auto"/>
        <w:rPr>
          <w:b/>
          <w:color w:val="000000"/>
          <w:szCs w:val="22"/>
          <w:lang w:eastAsia="pl-PL"/>
        </w:rPr>
      </w:pPr>
      <w:r w:rsidRPr="003978CF">
        <w:rPr>
          <w:b/>
          <w:color w:val="000000"/>
          <w:szCs w:val="22"/>
          <w:lang w:eastAsia="pl-PL"/>
        </w:rPr>
        <w:lastRenderedPageBreak/>
        <w:t>Нарушения на имунната система</w:t>
      </w:r>
    </w:p>
    <w:p w14:paraId="3F6771C9" w14:textId="77777777" w:rsidR="00002AF7" w:rsidRPr="003978CF" w:rsidRDefault="008303E9" w:rsidP="007E1076">
      <w:pPr>
        <w:keepNext/>
        <w:tabs>
          <w:tab w:val="clear" w:pos="567"/>
        </w:tabs>
        <w:autoSpaceDE w:val="0"/>
        <w:autoSpaceDN w:val="0"/>
        <w:adjustRightInd w:val="0"/>
        <w:spacing w:line="240" w:lineRule="auto"/>
        <w:rPr>
          <w:color w:val="000000"/>
          <w:szCs w:val="22"/>
          <w:lang w:eastAsia="pl-PL"/>
        </w:rPr>
      </w:pPr>
      <w:r w:rsidRPr="003978CF">
        <w:rPr>
          <w:i/>
          <w:iCs/>
          <w:color w:val="000000"/>
          <w:szCs w:val="22"/>
          <w:lang w:eastAsia="pl-PL"/>
        </w:rPr>
        <w:t>Редки</w:t>
      </w:r>
      <w:r w:rsidR="00002AF7" w:rsidRPr="003978CF">
        <w:rPr>
          <w:iCs/>
          <w:color w:val="000000"/>
          <w:szCs w:val="22"/>
          <w:lang w:eastAsia="pl-PL"/>
        </w:rPr>
        <w:t>:</w:t>
      </w:r>
      <w:r w:rsidR="00002AF7" w:rsidRPr="003978CF">
        <w:rPr>
          <w:i/>
          <w:iCs/>
          <w:color w:val="000000"/>
          <w:szCs w:val="22"/>
          <w:lang w:eastAsia="pl-PL"/>
        </w:rPr>
        <w:t xml:space="preserve"> </w:t>
      </w:r>
      <w:r w:rsidR="00400B6C" w:rsidRPr="003978CF">
        <w:rPr>
          <w:color w:val="000000"/>
          <w:szCs w:val="22"/>
          <w:lang w:eastAsia="pl-PL"/>
        </w:rPr>
        <w:t>реакции на свръхчувствителност, характеризиращи се с лабораторни и клинични признаци, включващи: ангиоедем, кожни реакции, оток; тежки реакции на свръхчувствителност, включително анафилактичен шок</w:t>
      </w:r>
      <w:r w:rsidR="00002AF7" w:rsidRPr="003978CF">
        <w:rPr>
          <w:color w:val="000000"/>
          <w:szCs w:val="22"/>
          <w:lang w:eastAsia="pl-PL"/>
        </w:rPr>
        <w:t>.</w:t>
      </w:r>
    </w:p>
    <w:p w14:paraId="7E84F8D1" w14:textId="77777777" w:rsidR="009B582F" w:rsidRPr="003978CF" w:rsidRDefault="009B582F" w:rsidP="009B582F">
      <w:pPr>
        <w:tabs>
          <w:tab w:val="clear" w:pos="567"/>
        </w:tabs>
        <w:autoSpaceDE w:val="0"/>
        <w:autoSpaceDN w:val="0"/>
        <w:adjustRightInd w:val="0"/>
        <w:spacing w:line="240" w:lineRule="auto"/>
        <w:rPr>
          <w:color w:val="000000"/>
          <w:szCs w:val="22"/>
          <w:lang w:eastAsia="pl-PL"/>
        </w:rPr>
      </w:pPr>
    </w:p>
    <w:p w14:paraId="4E4A7119" w14:textId="77777777" w:rsidR="009B582F" w:rsidRPr="003978CF" w:rsidRDefault="009D5404" w:rsidP="009B582F">
      <w:pPr>
        <w:tabs>
          <w:tab w:val="clear" w:pos="567"/>
        </w:tabs>
        <w:autoSpaceDE w:val="0"/>
        <w:autoSpaceDN w:val="0"/>
        <w:adjustRightInd w:val="0"/>
        <w:spacing w:line="240" w:lineRule="auto"/>
        <w:rPr>
          <w:b/>
          <w:color w:val="000000"/>
          <w:szCs w:val="22"/>
          <w:lang w:eastAsia="pl-PL"/>
        </w:rPr>
      </w:pPr>
      <w:r w:rsidRPr="003978CF">
        <w:rPr>
          <w:b/>
          <w:color w:val="000000"/>
          <w:szCs w:val="22"/>
          <w:lang w:eastAsia="pl-PL"/>
        </w:rPr>
        <w:t>Нарушения на метаболизма и храненето</w:t>
      </w:r>
    </w:p>
    <w:p w14:paraId="18E199A3" w14:textId="77777777" w:rsidR="009B582F" w:rsidRPr="003978CF" w:rsidRDefault="008303E9" w:rsidP="00C67D5B">
      <w:pPr>
        <w:tabs>
          <w:tab w:val="clear" w:pos="567"/>
        </w:tabs>
        <w:autoSpaceDE w:val="0"/>
        <w:autoSpaceDN w:val="0"/>
        <w:adjustRightInd w:val="0"/>
        <w:spacing w:line="240" w:lineRule="auto"/>
        <w:rPr>
          <w:color w:val="000000"/>
          <w:szCs w:val="22"/>
          <w:lang w:eastAsia="pl-PL"/>
        </w:rPr>
      </w:pPr>
      <w:r w:rsidRPr="003978CF">
        <w:rPr>
          <w:i/>
          <w:iCs/>
          <w:color w:val="000000"/>
          <w:szCs w:val="22"/>
          <w:lang w:eastAsia="pl-PL"/>
        </w:rPr>
        <w:t>Много редки</w:t>
      </w:r>
      <w:r w:rsidR="009B582F" w:rsidRPr="003978CF">
        <w:rPr>
          <w:iCs/>
          <w:color w:val="000000"/>
          <w:szCs w:val="22"/>
          <w:lang w:eastAsia="pl-PL"/>
        </w:rPr>
        <w:t>:</w:t>
      </w:r>
      <w:r w:rsidR="009B582F" w:rsidRPr="003978CF">
        <w:rPr>
          <w:i/>
          <w:iCs/>
          <w:color w:val="000000"/>
          <w:szCs w:val="22"/>
          <w:lang w:eastAsia="pl-PL"/>
        </w:rPr>
        <w:t xml:space="preserve"> </w:t>
      </w:r>
      <w:r w:rsidR="00400B6C" w:rsidRPr="003978CF">
        <w:rPr>
          <w:color w:val="000000"/>
          <w:szCs w:val="22"/>
          <w:lang w:eastAsia="pl-PL"/>
        </w:rPr>
        <w:t>хипогликемия</w:t>
      </w:r>
      <w:r w:rsidR="009B582F" w:rsidRPr="003978CF">
        <w:rPr>
          <w:color w:val="000000"/>
          <w:szCs w:val="22"/>
          <w:lang w:eastAsia="pl-PL"/>
        </w:rPr>
        <w:t>.</w:t>
      </w:r>
    </w:p>
    <w:p w14:paraId="21CFB59E" w14:textId="77777777" w:rsidR="007B2FA7" w:rsidRPr="003978CF" w:rsidRDefault="007B2FA7" w:rsidP="009B582F">
      <w:pPr>
        <w:tabs>
          <w:tab w:val="clear" w:pos="567"/>
        </w:tabs>
        <w:autoSpaceDE w:val="0"/>
        <w:autoSpaceDN w:val="0"/>
        <w:adjustRightInd w:val="0"/>
        <w:spacing w:line="240" w:lineRule="auto"/>
        <w:rPr>
          <w:color w:val="000000"/>
          <w:szCs w:val="22"/>
          <w:lang w:eastAsia="pl-PL"/>
        </w:rPr>
      </w:pPr>
    </w:p>
    <w:p w14:paraId="3877391A" w14:textId="77777777" w:rsidR="00225B5B" w:rsidRPr="003978CF" w:rsidRDefault="003978CF" w:rsidP="009B582F">
      <w:pPr>
        <w:tabs>
          <w:tab w:val="clear" w:pos="567"/>
        </w:tabs>
        <w:autoSpaceDE w:val="0"/>
        <w:autoSpaceDN w:val="0"/>
        <w:adjustRightInd w:val="0"/>
        <w:spacing w:line="240" w:lineRule="auto"/>
        <w:rPr>
          <w:b/>
          <w:color w:val="000000"/>
          <w:szCs w:val="22"/>
          <w:lang w:eastAsia="pl-PL"/>
        </w:rPr>
      </w:pPr>
      <w:r w:rsidRPr="003978CF">
        <w:rPr>
          <w:b/>
          <w:color w:val="000000"/>
          <w:szCs w:val="22"/>
          <w:lang w:eastAsia="pl-PL"/>
        </w:rPr>
        <w:t>Сърдечни</w:t>
      </w:r>
      <w:r w:rsidR="007D1CE9" w:rsidRPr="003978CF">
        <w:rPr>
          <w:b/>
          <w:color w:val="000000"/>
          <w:szCs w:val="22"/>
          <w:lang w:eastAsia="pl-PL"/>
        </w:rPr>
        <w:t xml:space="preserve"> н</w:t>
      </w:r>
      <w:r w:rsidR="009D5404" w:rsidRPr="003978CF">
        <w:rPr>
          <w:b/>
          <w:color w:val="000000"/>
          <w:szCs w:val="22"/>
          <w:lang w:eastAsia="pl-PL"/>
        </w:rPr>
        <w:t>арушения</w:t>
      </w:r>
    </w:p>
    <w:p w14:paraId="50D677F5" w14:textId="77777777" w:rsidR="00225B5B" w:rsidRPr="003978CF" w:rsidRDefault="008303E9" w:rsidP="009B582F">
      <w:pPr>
        <w:tabs>
          <w:tab w:val="clear" w:pos="567"/>
        </w:tabs>
        <w:autoSpaceDE w:val="0"/>
        <w:autoSpaceDN w:val="0"/>
        <w:adjustRightInd w:val="0"/>
        <w:spacing w:line="240" w:lineRule="auto"/>
        <w:rPr>
          <w:color w:val="000000"/>
          <w:szCs w:val="22"/>
          <w:lang w:eastAsia="pl-PL"/>
        </w:rPr>
      </w:pPr>
      <w:r w:rsidRPr="003978CF">
        <w:rPr>
          <w:i/>
          <w:szCs w:val="22"/>
        </w:rPr>
        <w:t>С неизвестна честота</w:t>
      </w:r>
      <w:r w:rsidR="00225B5B" w:rsidRPr="003978CF">
        <w:rPr>
          <w:szCs w:val="22"/>
        </w:rPr>
        <w:t xml:space="preserve">: </w:t>
      </w:r>
      <w:r w:rsidR="00C03FF3" w:rsidRPr="003978CF">
        <w:rPr>
          <w:color w:val="000000"/>
          <w:szCs w:val="22"/>
          <w:lang w:eastAsia="pl-PL"/>
        </w:rPr>
        <w:t>реакции на свръхчувствителност, характеризиращи се с лабораторни и клинични признаци, включващи: кардио-респираторни нарушения</w:t>
      </w:r>
      <w:r w:rsidR="00225B5B" w:rsidRPr="003978CF">
        <w:rPr>
          <w:color w:val="000000"/>
          <w:szCs w:val="22"/>
          <w:lang w:eastAsia="pl-PL"/>
        </w:rPr>
        <w:t>.</w:t>
      </w:r>
    </w:p>
    <w:p w14:paraId="4EC4BFDB" w14:textId="50226CE8" w:rsidR="002E4613" w:rsidRPr="003978CF" w:rsidRDefault="00C03FF3" w:rsidP="002E4613">
      <w:pPr>
        <w:tabs>
          <w:tab w:val="clear" w:pos="567"/>
        </w:tabs>
        <w:spacing w:line="240" w:lineRule="auto"/>
        <w:rPr>
          <w:szCs w:val="22"/>
          <w:lang w:eastAsia="lv-LV"/>
        </w:rPr>
      </w:pPr>
      <w:r w:rsidRPr="003978CF">
        <w:rPr>
          <w:szCs w:val="22"/>
          <w:lang w:eastAsia="lv-LV"/>
        </w:rPr>
        <w:t>Отоци, хипертония и сърдечна недостатъчност се съобщават във връзка с НСПВС, включително при лечение с ацетилсалицилова киселина</w:t>
      </w:r>
      <w:r w:rsidR="002E4613" w:rsidRPr="003978CF">
        <w:rPr>
          <w:szCs w:val="22"/>
          <w:lang w:eastAsia="lv-LV"/>
        </w:rPr>
        <w:t>.</w:t>
      </w:r>
    </w:p>
    <w:p w14:paraId="6D0103D5" w14:textId="77777777" w:rsidR="002E4613" w:rsidRPr="003978CF" w:rsidRDefault="002E4613" w:rsidP="002E4613">
      <w:pPr>
        <w:tabs>
          <w:tab w:val="clear" w:pos="567"/>
        </w:tabs>
        <w:spacing w:line="240" w:lineRule="auto"/>
        <w:rPr>
          <w:szCs w:val="22"/>
          <w:lang w:eastAsia="lv-LV"/>
        </w:rPr>
      </w:pPr>
    </w:p>
    <w:p w14:paraId="5AFCE2F6" w14:textId="77777777" w:rsidR="009D5404" w:rsidRPr="003978CF" w:rsidRDefault="009D5404" w:rsidP="009B582F">
      <w:pPr>
        <w:rPr>
          <w:b/>
          <w:color w:val="000000"/>
          <w:szCs w:val="22"/>
          <w:lang w:eastAsia="pl-PL"/>
        </w:rPr>
      </w:pPr>
      <w:r w:rsidRPr="003978CF">
        <w:rPr>
          <w:b/>
          <w:color w:val="000000"/>
          <w:szCs w:val="22"/>
          <w:lang w:eastAsia="pl-PL"/>
        </w:rPr>
        <w:t>Нарушения на нервната система</w:t>
      </w:r>
    </w:p>
    <w:p w14:paraId="329BD674" w14:textId="77777777" w:rsidR="00776D3A" w:rsidRPr="003978CF" w:rsidRDefault="008303E9" w:rsidP="009B582F">
      <w:pPr>
        <w:rPr>
          <w:i/>
          <w:szCs w:val="22"/>
        </w:rPr>
      </w:pPr>
      <w:r w:rsidRPr="003978CF">
        <w:rPr>
          <w:i/>
          <w:color w:val="000000"/>
          <w:szCs w:val="22"/>
          <w:lang w:eastAsia="pl-PL"/>
        </w:rPr>
        <w:t>Редки</w:t>
      </w:r>
      <w:r w:rsidR="00212D40" w:rsidRPr="003978CF">
        <w:rPr>
          <w:color w:val="000000"/>
          <w:szCs w:val="22"/>
          <w:lang w:eastAsia="pl-PL"/>
        </w:rPr>
        <w:t>:</w:t>
      </w:r>
      <w:r w:rsidR="00776D3A" w:rsidRPr="003978CF">
        <w:rPr>
          <w:i/>
          <w:color w:val="000000"/>
          <w:szCs w:val="22"/>
          <w:lang w:eastAsia="pl-PL"/>
        </w:rPr>
        <w:t xml:space="preserve"> </w:t>
      </w:r>
      <w:r w:rsidR="006873D7" w:rsidRPr="003978CF">
        <w:rPr>
          <w:color w:val="000000"/>
          <w:szCs w:val="22"/>
          <w:lang w:eastAsia="pl-PL"/>
        </w:rPr>
        <w:t>тежко кървене като вътречерепен кръвоизлив (особено при пациенти с неконтролирана хипертония и/или по време на едновременното приложение на антихемостатици), което в отделни случаи може да бъде потенциално опасно за живота</w:t>
      </w:r>
      <w:r w:rsidR="00776D3A" w:rsidRPr="003978CF">
        <w:rPr>
          <w:color w:val="000000"/>
          <w:szCs w:val="22"/>
          <w:lang w:eastAsia="pl-PL"/>
        </w:rPr>
        <w:t>.</w:t>
      </w:r>
    </w:p>
    <w:p w14:paraId="1F7EE6E0" w14:textId="77777777" w:rsidR="009B582F" w:rsidRPr="003978CF" w:rsidRDefault="008303E9" w:rsidP="009B582F">
      <w:pPr>
        <w:rPr>
          <w:szCs w:val="22"/>
          <w:u w:val="single"/>
        </w:rPr>
      </w:pPr>
      <w:r w:rsidRPr="003978CF">
        <w:rPr>
          <w:i/>
          <w:szCs w:val="22"/>
        </w:rPr>
        <w:t>С неизвестна честота</w:t>
      </w:r>
      <w:r w:rsidR="00907E13" w:rsidRPr="003978CF">
        <w:rPr>
          <w:szCs w:val="22"/>
        </w:rPr>
        <w:t>:</w:t>
      </w:r>
      <w:r w:rsidR="00907E13" w:rsidRPr="003978CF">
        <w:rPr>
          <w:color w:val="000000"/>
          <w:szCs w:val="22"/>
          <w:lang w:eastAsia="pl-PL"/>
        </w:rPr>
        <w:t xml:space="preserve"> </w:t>
      </w:r>
      <w:r w:rsidR="006873D7" w:rsidRPr="003978CF">
        <w:rPr>
          <w:color w:val="000000"/>
          <w:szCs w:val="22"/>
          <w:lang w:eastAsia="pl-PL"/>
        </w:rPr>
        <w:t>световъртеж и шум в ушите, които обикновено са симптоми на предозиране</w:t>
      </w:r>
      <w:r w:rsidR="009B582F" w:rsidRPr="003978CF">
        <w:rPr>
          <w:color w:val="000000"/>
          <w:szCs w:val="22"/>
          <w:lang w:eastAsia="pl-PL"/>
        </w:rPr>
        <w:t>.</w:t>
      </w:r>
    </w:p>
    <w:p w14:paraId="626BE4D5" w14:textId="77777777" w:rsidR="009B582F" w:rsidRPr="003978CF" w:rsidRDefault="009B582F" w:rsidP="005E14FC">
      <w:pPr>
        <w:tabs>
          <w:tab w:val="clear" w:pos="567"/>
        </w:tabs>
        <w:autoSpaceDE w:val="0"/>
        <w:autoSpaceDN w:val="0"/>
        <w:adjustRightInd w:val="0"/>
        <w:spacing w:line="240" w:lineRule="auto"/>
        <w:rPr>
          <w:color w:val="000000"/>
          <w:szCs w:val="22"/>
          <w:lang w:eastAsia="pl-PL"/>
        </w:rPr>
      </w:pPr>
    </w:p>
    <w:p w14:paraId="6036A7D4" w14:textId="77777777" w:rsidR="009B582F" w:rsidRPr="003978CF" w:rsidRDefault="009D5404" w:rsidP="007E1076">
      <w:pPr>
        <w:tabs>
          <w:tab w:val="clear" w:pos="567"/>
        </w:tabs>
        <w:autoSpaceDE w:val="0"/>
        <w:autoSpaceDN w:val="0"/>
        <w:adjustRightInd w:val="0"/>
        <w:spacing w:line="240" w:lineRule="auto"/>
        <w:rPr>
          <w:b/>
          <w:color w:val="000000"/>
          <w:szCs w:val="22"/>
          <w:lang w:eastAsia="pl-PL"/>
        </w:rPr>
      </w:pPr>
      <w:r w:rsidRPr="003978CF">
        <w:rPr>
          <w:b/>
          <w:color w:val="000000"/>
          <w:szCs w:val="22"/>
          <w:lang w:eastAsia="pl-PL"/>
        </w:rPr>
        <w:t>Стомашно-чревни нарушения</w:t>
      </w:r>
    </w:p>
    <w:p w14:paraId="2BD151CC" w14:textId="77777777" w:rsidR="009B582F" w:rsidRPr="003978CF" w:rsidRDefault="008303E9" w:rsidP="007E1076">
      <w:pPr>
        <w:tabs>
          <w:tab w:val="clear" w:pos="567"/>
        </w:tabs>
        <w:autoSpaceDE w:val="0"/>
        <w:autoSpaceDN w:val="0"/>
        <w:adjustRightInd w:val="0"/>
        <w:spacing w:line="240" w:lineRule="auto"/>
        <w:rPr>
          <w:color w:val="000000"/>
          <w:szCs w:val="22"/>
          <w:lang w:eastAsia="pl-PL"/>
        </w:rPr>
      </w:pPr>
      <w:r w:rsidRPr="003978CF">
        <w:rPr>
          <w:i/>
          <w:iCs/>
          <w:color w:val="000000"/>
          <w:szCs w:val="22"/>
          <w:lang w:eastAsia="pl-PL"/>
        </w:rPr>
        <w:t>Чести</w:t>
      </w:r>
      <w:r w:rsidR="009B582F" w:rsidRPr="003978CF">
        <w:rPr>
          <w:iCs/>
          <w:color w:val="000000"/>
          <w:szCs w:val="22"/>
          <w:lang w:eastAsia="pl-PL"/>
        </w:rPr>
        <w:t>:</w:t>
      </w:r>
      <w:r w:rsidR="009B582F" w:rsidRPr="003978CF">
        <w:rPr>
          <w:i/>
          <w:iCs/>
          <w:color w:val="000000"/>
          <w:szCs w:val="22"/>
          <w:lang w:eastAsia="pl-PL"/>
        </w:rPr>
        <w:t xml:space="preserve"> </w:t>
      </w:r>
      <w:r w:rsidR="00855B3C" w:rsidRPr="003978CF">
        <w:rPr>
          <w:color w:val="000000"/>
          <w:szCs w:val="22"/>
          <w:lang w:eastAsia="pl-PL"/>
        </w:rPr>
        <w:t>диспепсия (киселини, гадене, повръщане) и коремна болка</w:t>
      </w:r>
      <w:r w:rsidR="009B582F" w:rsidRPr="003978CF">
        <w:rPr>
          <w:color w:val="000000"/>
          <w:szCs w:val="22"/>
          <w:lang w:eastAsia="pl-PL"/>
        </w:rPr>
        <w:t>.</w:t>
      </w:r>
    </w:p>
    <w:p w14:paraId="183BDA86" w14:textId="77777777" w:rsidR="009B582F" w:rsidRPr="003978CF" w:rsidRDefault="008303E9" w:rsidP="007E1076">
      <w:pPr>
        <w:tabs>
          <w:tab w:val="clear" w:pos="567"/>
        </w:tabs>
        <w:autoSpaceDE w:val="0"/>
        <w:autoSpaceDN w:val="0"/>
        <w:adjustRightInd w:val="0"/>
        <w:spacing w:line="240" w:lineRule="auto"/>
        <w:rPr>
          <w:color w:val="000000"/>
          <w:szCs w:val="22"/>
          <w:lang w:eastAsia="pl-PL"/>
        </w:rPr>
      </w:pPr>
      <w:r w:rsidRPr="003978CF">
        <w:rPr>
          <w:i/>
          <w:iCs/>
          <w:color w:val="000000"/>
          <w:szCs w:val="22"/>
          <w:lang w:eastAsia="pl-PL"/>
        </w:rPr>
        <w:t>Редки</w:t>
      </w:r>
      <w:r w:rsidR="009B582F" w:rsidRPr="003978CF">
        <w:rPr>
          <w:color w:val="000000"/>
          <w:szCs w:val="22"/>
          <w:lang w:eastAsia="pl-PL"/>
        </w:rPr>
        <w:t xml:space="preserve">: </w:t>
      </w:r>
      <w:r w:rsidR="00855B3C" w:rsidRPr="003978CF">
        <w:rPr>
          <w:color w:val="000000"/>
          <w:szCs w:val="22"/>
          <w:lang w:eastAsia="pl-PL"/>
        </w:rPr>
        <w:t>възпаление на гастро</w:t>
      </w:r>
      <w:r w:rsidR="007D1CE9" w:rsidRPr="003978CF">
        <w:rPr>
          <w:color w:val="000000"/>
          <w:szCs w:val="22"/>
          <w:lang w:eastAsia="pl-PL"/>
        </w:rPr>
        <w:t>интестиналния тракт, стомашна и</w:t>
      </w:r>
      <w:r w:rsidR="00855B3C" w:rsidRPr="003978CF">
        <w:rPr>
          <w:color w:val="000000"/>
          <w:szCs w:val="22"/>
          <w:lang w:eastAsia="pl-PL"/>
        </w:rPr>
        <w:t>/или дуоденална язва, много рядко водещи до гастроинтестинален кръвоизлив и перфорация, характеризиращи се с клинични и лабораторни признаци</w:t>
      </w:r>
      <w:r w:rsidR="009B582F" w:rsidRPr="003978CF">
        <w:rPr>
          <w:color w:val="000000"/>
          <w:szCs w:val="22"/>
          <w:lang w:eastAsia="pl-PL"/>
        </w:rPr>
        <w:t>.</w:t>
      </w:r>
    </w:p>
    <w:p w14:paraId="4B3B113C" w14:textId="77777777" w:rsidR="009B582F" w:rsidRPr="003978CF" w:rsidRDefault="009B582F" w:rsidP="009B582F">
      <w:pPr>
        <w:tabs>
          <w:tab w:val="clear" w:pos="567"/>
        </w:tabs>
        <w:autoSpaceDE w:val="0"/>
        <w:autoSpaceDN w:val="0"/>
        <w:adjustRightInd w:val="0"/>
        <w:spacing w:line="240" w:lineRule="auto"/>
        <w:rPr>
          <w:color w:val="000000"/>
          <w:szCs w:val="22"/>
          <w:lang w:eastAsia="pl-PL"/>
        </w:rPr>
      </w:pPr>
    </w:p>
    <w:p w14:paraId="3410FA5F" w14:textId="77777777" w:rsidR="005D35AC" w:rsidRPr="003978CF" w:rsidRDefault="009D5404" w:rsidP="009B582F">
      <w:pPr>
        <w:tabs>
          <w:tab w:val="clear" w:pos="567"/>
        </w:tabs>
        <w:autoSpaceDE w:val="0"/>
        <w:autoSpaceDN w:val="0"/>
        <w:adjustRightInd w:val="0"/>
        <w:spacing w:line="240" w:lineRule="auto"/>
        <w:rPr>
          <w:color w:val="000000"/>
          <w:szCs w:val="22"/>
          <w:lang w:eastAsia="pl-PL"/>
        </w:rPr>
      </w:pPr>
      <w:r w:rsidRPr="003978CF">
        <w:rPr>
          <w:b/>
        </w:rPr>
        <w:t>Респираторни, гръдни и медиастинални нарушения</w:t>
      </w:r>
    </w:p>
    <w:p w14:paraId="0A61E49C" w14:textId="53B8D22D" w:rsidR="005D35AC" w:rsidRPr="007E1076" w:rsidRDefault="008303E9" w:rsidP="009B582F">
      <w:pPr>
        <w:tabs>
          <w:tab w:val="clear" w:pos="567"/>
        </w:tabs>
        <w:autoSpaceDE w:val="0"/>
        <w:autoSpaceDN w:val="0"/>
        <w:adjustRightInd w:val="0"/>
        <w:spacing w:line="240" w:lineRule="auto"/>
        <w:rPr>
          <w:rFonts w:asciiTheme="minorHAnsi" w:hAnsiTheme="minorHAnsi"/>
          <w:color w:val="000000"/>
          <w:szCs w:val="22"/>
          <w:lang w:eastAsia="pl-PL"/>
        </w:rPr>
      </w:pPr>
      <w:r w:rsidRPr="003978CF">
        <w:rPr>
          <w:i/>
          <w:szCs w:val="22"/>
        </w:rPr>
        <w:t>Редки</w:t>
      </w:r>
      <w:r w:rsidR="005D35AC" w:rsidRPr="003978CF">
        <w:rPr>
          <w:szCs w:val="22"/>
        </w:rPr>
        <w:t xml:space="preserve">: </w:t>
      </w:r>
      <w:r w:rsidR="00DB237E" w:rsidRPr="003978CF">
        <w:rPr>
          <w:color w:val="000000"/>
          <w:szCs w:val="22"/>
          <w:lang w:eastAsia="pl-PL"/>
        </w:rPr>
        <w:t>реакции на свръхчувствителност, характеризиращи се с лабораторни и клинични признаци, включващи: астма, бронхоспазъм</w:t>
      </w:r>
      <w:r w:rsidR="009F0DFC" w:rsidRPr="003978CF">
        <w:rPr>
          <w:color w:val="000000"/>
          <w:szCs w:val="22"/>
          <w:lang w:eastAsia="pl-PL"/>
        </w:rPr>
        <w:t>.</w:t>
      </w:r>
    </w:p>
    <w:p w14:paraId="688BDCD5" w14:textId="77777777" w:rsidR="009F0DFC" w:rsidRPr="003978CF" w:rsidRDefault="009F0DFC" w:rsidP="009B582F">
      <w:pPr>
        <w:tabs>
          <w:tab w:val="clear" w:pos="567"/>
        </w:tabs>
        <w:autoSpaceDE w:val="0"/>
        <w:autoSpaceDN w:val="0"/>
        <w:adjustRightInd w:val="0"/>
        <w:spacing w:line="240" w:lineRule="auto"/>
        <w:rPr>
          <w:color w:val="000000"/>
          <w:szCs w:val="22"/>
          <w:lang w:eastAsia="pl-PL"/>
        </w:rPr>
      </w:pPr>
    </w:p>
    <w:p w14:paraId="58A3BF01" w14:textId="77777777" w:rsidR="009B582F" w:rsidRPr="003978CF" w:rsidRDefault="008303E9" w:rsidP="009B582F">
      <w:pPr>
        <w:tabs>
          <w:tab w:val="clear" w:pos="567"/>
        </w:tabs>
        <w:autoSpaceDE w:val="0"/>
        <w:autoSpaceDN w:val="0"/>
        <w:adjustRightInd w:val="0"/>
        <w:spacing w:line="240" w:lineRule="auto"/>
        <w:rPr>
          <w:b/>
          <w:color w:val="000000"/>
          <w:szCs w:val="22"/>
          <w:lang w:eastAsia="pl-PL"/>
        </w:rPr>
      </w:pPr>
      <w:r w:rsidRPr="003978CF">
        <w:rPr>
          <w:b/>
          <w:color w:val="000000"/>
          <w:szCs w:val="22"/>
          <w:lang w:eastAsia="pl-PL"/>
        </w:rPr>
        <w:t>Хепатобилиарни нарушения</w:t>
      </w:r>
    </w:p>
    <w:p w14:paraId="1CE36B39" w14:textId="7463F6A4" w:rsidR="00EF3B6F" w:rsidRPr="007E1076" w:rsidRDefault="008303E9" w:rsidP="002F3586">
      <w:pPr>
        <w:tabs>
          <w:tab w:val="clear" w:pos="567"/>
        </w:tabs>
        <w:autoSpaceDE w:val="0"/>
        <w:autoSpaceDN w:val="0"/>
        <w:adjustRightInd w:val="0"/>
        <w:spacing w:line="240" w:lineRule="auto"/>
        <w:rPr>
          <w:rFonts w:asciiTheme="minorHAnsi" w:hAnsiTheme="minorHAnsi" w:cs="TimesNewRoman"/>
          <w:sz w:val="21"/>
          <w:szCs w:val="21"/>
          <w:lang w:eastAsia="lv-LV"/>
        </w:rPr>
      </w:pPr>
      <w:r w:rsidRPr="003978CF">
        <w:rPr>
          <w:i/>
          <w:iCs/>
          <w:color w:val="000000"/>
          <w:szCs w:val="22"/>
          <w:lang w:eastAsia="pl-PL"/>
        </w:rPr>
        <w:t>Редки</w:t>
      </w:r>
      <w:r w:rsidR="009B582F" w:rsidRPr="003978CF">
        <w:rPr>
          <w:color w:val="000000"/>
          <w:szCs w:val="22"/>
          <w:lang w:eastAsia="pl-PL"/>
        </w:rPr>
        <w:t xml:space="preserve">: </w:t>
      </w:r>
      <w:r w:rsidR="00DB237E" w:rsidRPr="003978CF">
        <w:rPr>
          <w:color w:val="000000"/>
          <w:szCs w:val="22"/>
          <w:lang w:eastAsia="pl-PL"/>
        </w:rPr>
        <w:t>преходна чернодробна дисфункция с повишени трансаминази</w:t>
      </w:r>
      <w:r w:rsidR="009B582F" w:rsidRPr="003978CF">
        <w:rPr>
          <w:color w:val="000000"/>
          <w:szCs w:val="22"/>
          <w:lang w:eastAsia="pl-PL"/>
        </w:rPr>
        <w:t>.</w:t>
      </w:r>
    </w:p>
    <w:p w14:paraId="5B9525B9" w14:textId="77777777" w:rsidR="009B582F" w:rsidRPr="003978CF" w:rsidRDefault="008303E9" w:rsidP="002F3586">
      <w:pPr>
        <w:tabs>
          <w:tab w:val="clear" w:pos="567"/>
        </w:tabs>
        <w:autoSpaceDE w:val="0"/>
        <w:autoSpaceDN w:val="0"/>
        <w:adjustRightInd w:val="0"/>
        <w:spacing w:line="240" w:lineRule="auto"/>
        <w:rPr>
          <w:color w:val="000000"/>
          <w:szCs w:val="22"/>
          <w:lang w:eastAsia="pl-PL"/>
        </w:rPr>
      </w:pPr>
      <w:r w:rsidRPr="003978CF">
        <w:rPr>
          <w:i/>
          <w:szCs w:val="22"/>
        </w:rPr>
        <w:t>С неизвестна честота</w:t>
      </w:r>
      <w:r w:rsidR="00EF3B6F" w:rsidRPr="003978CF">
        <w:rPr>
          <w:szCs w:val="22"/>
        </w:rPr>
        <w:t xml:space="preserve">: </w:t>
      </w:r>
      <w:r w:rsidR="00DB237E" w:rsidRPr="003978CF">
        <w:rPr>
          <w:rFonts w:ascii="TimesNewRoman" w:hAnsi="TimesNewRoman" w:cs="TimesNewRoman"/>
          <w:sz w:val="21"/>
          <w:szCs w:val="21"/>
          <w:lang w:eastAsia="lv-LV"/>
        </w:rPr>
        <w:t>чернодробна недостатъчност; синдром на Рей</w:t>
      </w:r>
      <w:r w:rsidR="002F3586" w:rsidRPr="003978CF">
        <w:rPr>
          <w:rFonts w:ascii="TimesNewRoman" w:hAnsi="TimesNewRoman" w:cs="TimesNewRoman"/>
          <w:sz w:val="21"/>
          <w:szCs w:val="21"/>
          <w:lang w:eastAsia="lv-LV"/>
        </w:rPr>
        <w:t>.</w:t>
      </w:r>
    </w:p>
    <w:p w14:paraId="03D51702" w14:textId="77777777" w:rsidR="00002AF7" w:rsidRPr="003978CF" w:rsidRDefault="00002AF7" w:rsidP="00002AF7">
      <w:pPr>
        <w:autoSpaceDE w:val="0"/>
        <w:autoSpaceDN w:val="0"/>
        <w:adjustRightInd w:val="0"/>
        <w:rPr>
          <w:color w:val="000000"/>
          <w:szCs w:val="22"/>
          <w:lang w:eastAsia="pl-PL"/>
        </w:rPr>
      </w:pPr>
    </w:p>
    <w:p w14:paraId="20E05150" w14:textId="77777777" w:rsidR="009F0DFC" w:rsidRPr="003978CF" w:rsidRDefault="008303E9" w:rsidP="00002AF7">
      <w:pPr>
        <w:autoSpaceDE w:val="0"/>
        <w:autoSpaceDN w:val="0"/>
        <w:adjustRightInd w:val="0"/>
        <w:rPr>
          <w:b/>
        </w:rPr>
      </w:pPr>
      <w:r w:rsidRPr="003978CF">
        <w:rPr>
          <w:b/>
        </w:rPr>
        <w:t>Нарушения на кожата и подкожната тъкан</w:t>
      </w:r>
    </w:p>
    <w:p w14:paraId="589C3CA2" w14:textId="39F9D9CE" w:rsidR="0042171D" w:rsidRPr="003978CF" w:rsidRDefault="008303E9" w:rsidP="00002AF7">
      <w:pPr>
        <w:autoSpaceDE w:val="0"/>
        <w:autoSpaceDN w:val="0"/>
        <w:adjustRightInd w:val="0"/>
      </w:pPr>
      <w:r w:rsidRPr="003978CF">
        <w:rPr>
          <w:i/>
        </w:rPr>
        <w:t>Много редки</w:t>
      </w:r>
      <w:r w:rsidR="00F73522" w:rsidRPr="003978CF">
        <w:rPr>
          <w:i/>
        </w:rPr>
        <w:t>:</w:t>
      </w:r>
      <w:r w:rsidR="00F73522" w:rsidRPr="003978CF">
        <w:rPr>
          <w:sz w:val="26"/>
          <w:szCs w:val="26"/>
          <w:lang w:eastAsia="lv-LV"/>
        </w:rPr>
        <w:t xml:space="preserve"> </w:t>
      </w:r>
      <w:r w:rsidR="00DB237E" w:rsidRPr="003978CF">
        <w:t>булозни реакции, включително синдром на Stevens-Johnson и токсична епидермална некролиза</w:t>
      </w:r>
      <w:r w:rsidR="00F73522" w:rsidRPr="003978CF">
        <w:t>.</w:t>
      </w:r>
    </w:p>
    <w:p w14:paraId="7CCEF322" w14:textId="77777777" w:rsidR="009F0DFC" w:rsidRPr="003978CF" w:rsidRDefault="008303E9" w:rsidP="00002AF7">
      <w:pPr>
        <w:autoSpaceDE w:val="0"/>
        <w:autoSpaceDN w:val="0"/>
        <w:adjustRightInd w:val="0"/>
        <w:rPr>
          <w:color w:val="000000"/>
          <w:szCs w:val="22"/>
          <w:lang w:eastAsia="pl-PL"/>
        </w:rPr>
      </w:pPr>
      <w:r w:rsidRPr="003978CF">
        <w:rPr>
          <w:i/>
          <w:szCs w:val="22"/>
        </w:rPr>
        <w:t>С неизвестна честота</w:t>
      </w:r>
      <w:r w:rsidR="009F0DFC" w:rsidRPr="003978CF">
        <w:rPr>
          <w:szCs w:val="22"/>
        </w:rPr>
        <w:t xml:space="preserve">: </w:t>
      </w:r>
      <w:r w:rsidR="0056194A" w:rsidRPr="003978CF">
        <w:rPr>
          <w:color w:val="000000"/>
          <w:szCs w:val="22"/>
          <w:lang w:eastAsia="pl-PL"/>
        </w:rPr>
        <w:t>реакции на свръхчувствителност, характеризиращи се с клинични признаци, включващи: обрив, уртикария, сърбеж</w:t>
      </w:r>
      <w:r w:rsidR="009F0DFC" w:rsidRPr="003978CF">
        <w:rPr>
          <w:color w:val="000000"/>
          <w:szCs w:val="22"/>
          <w:lang w:eastAsia="pl-PL"/>
        </w:rPr>
        <w:t>.</w:t>
      </w:r>
    </w:p>
    <w:p w14:paraId="2A5248DA" w14:textId="77777777" w:rsidR="009F0DFC" w:rsidRPr="003978CF" w:rsidRDefault="009F0DFC" w:rsidP="00002AF7">
      <w:pPr>
        <w:autoSpaceDE w:val="0"/>
        <w:autoSpaceDN w:val="0"/>
        <w:adjustRightInd w:val="0"/>
        <w:rPr>
          <w:color w:val="000000"/>
          <w:szCs w:val="22"/>
          <w:lang w:eastAsia="pl-PL"/>
        </w:rPr>
      </w:pPr>
    </w:p>
    <w:p w14:paraId="31C1A372" w14:textId="77777777" w:rsidR="008303E9" w:rsidRPr="003978CF" w:rsidRDefault="008303E9" w:rsidP="00AC212D">
      <w:pPr>
        <w:tabs>
          <w:tab w:val="clear" w:pos="567"/>
        </w:tabs>
        <w:autoSpaceDE w:val="0"/>
        <w:autoSpaceDN w:val="0"/>
        <w:adjustRightInd w:val="0"/>
        <w:spacing w:line="240" w:lineRule="auto"/>
        <w:rPr>
          <w:b/>
          <w:color w:val="000000"/>
          <w:szCs w:val="22"/>
          <w:lang w:eastAsia="pl-PL"/>
        </w:rPr>
      </w:pPr>
      <w:r w:rsidRPr="003978CF">
        <w:rPr>
          <w:b/>
          <w:color w:val="000000"/>
          <w:szCs w:val="22"/>
          <w:lang w:eastAsia="pl-PL"/>
        </w:rPr>
        <w:t>Нарушения на бъбреците и пикочните пътища</w:t>
      </w:r>
    </w:p>
    <w:p w14:paraId="6CA8147E" w14:textId="412580CA" w:rsidR="005D35AC" w:rsidRPr="007E1076" w:rsidRDefault="008303E9" w:rsidP="00AC212D">
      <w:pPr>
        <w:tabs>
          <w:tab w:val="clear" w:pos="567"/>
        </w:tabs>
        <w:autoSpaceDE w:val="0"/>
        <w:autoSpaceDN w:val="0"/>
        <w:adjustRightInd w:val="0"/>
        <w:spacing w:line="240" w:lineRule="auto"/>
        <w:rPr>
          <w:bCs/>
        </w:rPr>
      </w:pPr>
      <w:r w:rsidRPr="003978CF">
        <w:rPr>
          <w:i/>
          <w:iCs/>
          <w:color w:val="000000"/>
          <w:szCs w:val="22"/>
          <w:lang w:eastAsia="pl-PL"/>
        </w:rPr>
        <w:t>Много редки</w:t>
      </w:r>
      <w:r w:rsidR="00002AF7" w:rsidRPr="003978CF">
        <w:rPr>
          <w:iCs/>
          <w:color w:val="000000"/>
          <w:szCs w:val="22"/>
          <w:lang w:eastAsia="pl-PL"/>
        </w:rPr>
        <w:t>:</w:t>
      </w:r>
      <w:r w:rsidR="00002AF7" w:rsidRPr="003978CF">
        <w:rPr>
          <w:i/>
          <w:iCs/>
          <w:color w:val="000000"/>
          <w:szCs w:val="22"/>
          <w:lang w:eastAsia="pl-PL"/>
        </w:rPr>
        <w:t xml:space="preserve"> </w:t>
      </w:r>
      <w:r w:rsidR="00BA57AF" w:rsidRPr="003978CF">
        <w:rPr>
          <w:color w:val="000000"/>
          <w:szCs w:val="22"/>
          <w:lang w:eastAsia="pl-PL"/>
        </w:rPr>
        <w:t>нарушена бъбречна функция, уратни камъни в бъбреците</w:t>
      </w:r>
      <w:r w:rsidR="00DF681D" w:rsidRPr="003978CF">
        <w:rPr>
          <w:color w:val="000000"/>
          <w:szCs w:val="22"/>
          <w:lang w:eastAsia="pl-PL"/>
        </w:rPr>
        <w:t>.</w:t>
      </w:r>
    </w:p>
    <w:p w14:paraId="07271BF0" w14:textId="77777777" w:rsidR="002F3586" w:rsidRPr="003978CF" w:rsidRDefault="002F3586" w:rsidP="00AC212D">
      <w:pPr>
        <w:tabs>
          <w:tab w:val="clear" w:pos="567"/>
        </w:tabs>
        <w:autoSpaceDE w:val="0"/>
        <w:autoSpaceDN w:val="0"/>
        <w:adjustRightInd w:val="0"/>
        <w:spacing w:line="240" w:lineRule="auto"/>
        <w:rPr>
          <w:b/>
        </w:rPr>
      </w:pPr>
    </w:p>
    <w:p w14:paraId="02678AE7" w14:textId="77777777" w:rsidR="004C40F0" w:rsidRPr="00E60945" w:rsidRDefault="008303E9" w:rsidP="007E3DB1">
      <w:pPr>
        <w:tabs>
          <w:tab w:val="clear" w:pos="567"/>
        </w:tabs>
        <w:autoSpaceDE w:val="0"/>
        <w:autoSpaceDN w:val="0"/>
        <w:adjustRightInd w:val="0"/>
        <w:spacing w:line="240" w:lineRule="auto"/>
        <w:rPr>
          <w:rFonts w:ascii="Calibri" w:hAnsi="Calibri" w:cs="TimesNewRoman"/>
          <w:b/>
          <w:szCs w:val="22"/>
          <w:lang w:eastAsia="lv-LV"/>
        </w:rPr>
      </w:pPr>
      <w:r w:rsidRPr="003978CF">
        <w:rPr>
          <w:rFonts w:ascii="TimesNewRoman" w:hAnsi="TimesNewRoman" w:cs="TimesNewRoman"/>
          <w:b/>
          <w:szCs w:val="22"/>
          <w:lang w:eastAsia="lv-LV"/>
        </w:rPr>
        <w:t xml:space="preserve">Нарушения на </w:t>
      </w:r>
      <w:r w:rsidR="007D1CE9" w:rsidRPr="003978CF">
        <w:rPr>
          <w:rFonts w:cs="TimesNewRoman"/>
          <w:b/>
          <w:szCs w:val="22"/>
          <w:lang w:eastAsia="lv-LV"/>
        </w:rPr>
        <w:t>репродуктивната</w:t>
      </w:r>
      <w:r w:rsidRPr="003978CF">
        <w:rPr>
          <w:rFonts w:ascii="TimesNewRoman" w:hAnsi="TimesNewRoman" w:cs="TimesNewRoman"/>
          <w:b/>
          <w:szCs w:val="22"/>
          <w:lang w:eastAsia="lv-LV"/>
        </w:rPr>
        <w:t xml:space="preserve"> система и гърдата</w:t>
      </w:r>
    </w:p>
    <w:p w14:paraId="594862AF" w14:textId="77777777" w:rsidR="008C7068" w:rsidRPr="003978CF" w:rsidRDefault="008303E9" w:rsidP="007E3DB1">
      <w:pPr>
        <w:tabs>
          <w:tab w:val="clear" w:pos="567"/>
        </w:tabs>
        <w:autoSpaceDE w:val="0"/>
        <w:autoSpaceDN w:val="0"/>
        <w:adjustRightInd w:val="0"/>
        <w:spacing w:line="240" w:lineRule="auto"/>
        <w:rPr>
          <w:rFonts w:ascii="TimesNewRoman" w:hAnsi="TimesNewRoman" w:cs="TimesNewRoman"/>
          <w:szCs w:val="22"/>
          <w:lang w:eastAsia="lv-LV"/>
        </w:rPr>
      </w:pPr>
      <w:r w:rsidRPr="003978CF">
        <w:rPr>
          <w:rFonts w:ascii="TimesNewRoman" w:hAnsi="TimesNewRoman" w:cs="TimesNewRoman"/>
          <w:i/>
          <w:szCs w:val="22"/>
          <w:lang w:eastAsia="lv-LV"/>
        </w:rPr>
        <w:t>Редки</w:t>
      </w:r>
      <w:r w:rsidR="008C7068" w:rsidRPr="003978CF">
        <w:rPr>
          <w:rFonts w:ascii="TimesNewRoman" w:hAnsi="TimesNewRoman" w:cs="TimesNewRoman"/>
          <w:szCs w:val="22"/>
          <w:lang w:eastAsia="lv-LV"/>
        </w:rPr>
        <w:t xml:space="preserve">: </w:t>
      </w:r>
      <w:r w:rsidR="00BA57AF" w:rsidRPr="003978CF">
        <w:rPr>
          <w:szCs w:val="22"/>
          <w:lang w:eastAsia="lv-LV"/>
        </w:rPr>
        <w:t>менорагия</w:t>
      </w:r>
      <w:r w:rsidR="00EF3B6F" w:rsidRPr="003978CF">
        <w:rPr>
          <w:rFonts w:ascii="TimesNewRoman" w:hAnsi="TimesNewRoman" w:cs="TimesNewRoman"/>
          <w:szCs w:val="22"/>
          <w:lang w:eastAsia="lv-LV"/>
        </w:rPr>
        <w:t>.</w:t>
      </w:r>
    </w:p>
    <w:p w14:paraId="48FEB834" w14:textId="77777777" w:rsidR="002A5C73" w:rsidRPr="003978CF" w:rsidRDefault="002A5C73" w:rsidP="007E3DB1">
      <w:pPr>
        <w:tabs>
          <w:tab w:val="clear" w:pos="567"/>
        </w:tabs>
        <w:autoSpaceDE w:val="0"/>
        <w:autoSpaceDN w:val="0"/>
        <w:adjustRightInd w:val="0"/>
        <w:spacing w:line="240" w:lineRule="auto"/>
        <w:rPr>
          <w:rFonts w:ascii="TimesNewRoman" w:hAnsi="TimesNewRoman" w:cs="TimesNewRoman"/>
          <w:b/>
          <w:sz w:val="21"/>
          <w:szCs w:val="21"/>
          <w:u w:val="single"/>
          <w:lang w:eastAsia="lv-LV"/>
        </w:rPr>
      </w:pPr>
    </w:p>
    <w:p w14:paraId="6EED918F" w14:textId="77777777" w:rsidR="004B71A6" w:rsidRPr="003978CF" w:rsidRDefault="004B71A6" w:rsidP="00A7264A">
      <w:pPr>
        <w:tabs>
          <w:tab w:val="left" w:pos="720"/>
        </w:tabs>
        <w:rPr>
          <w:szCs w:val="22"/>
          <w:u w:val="single"/>
        </w:rPr>
      </w:pPr>
      <w:r w:rsidRPr="003978CF">
        <w:rPr>
          <w:szCs w:val="22"/>
          <w:u w:val="single"/>
        </w:rPr>
        <w:t>Съобщаване на подозирани нежелани реакции</w:t>
      </w:r>
    </w:p>
    <w:p w14:paraId="2AF5FFA8" w14:textId="56CA8DC3" w:rsidR="00A7264A" w:rsidRDefault="004B71A6" w:rsidP="007E1076">
      <w:pPr>
        <w:autoSpaceDE w:val="0"/>
        <w:autoSpaceDN w:val="0"/>
        <w:adjustRightInd w:val="0"/>
        <w:spacing w:line="240" w:lineRule="auto"/>
        <w:rPr>
          <w:szCs w:val="22"/>
        </w:rPr>
      </w:pPr>
      <w:r w:rsidRPr="003978CF">
        <w:rPr>
          <w:szCs w:val="22"/>
        </w:rPr>
        <w:t>Съобщаването на подозирани нежелани реакции след разрешаване за употреба на лекарствения продукт е важно.</w:t>
      </w:r>
      <w:r w:rsidR="00583595" w:rsidRPr="003978CF">
        <w:rPr>
          <w:szCs w:val="22"/>
        </w:rPr>
        <w:t xml:space="preserve"> </w:t>
      </w:r>
      <w:r w:rsidRPr="003978CF">
        <w:rPr>
          <w:szCs w:val="22"/>
        </w:rPr>
        <w:t>Това позволява да продължи наблюдението на съотношението полза/риск за лекарствения продукт.</w:t>
      </w:r>
      <w:r w:rsidR="00583595" w:rsidRPr="003978CF">
        <w:rPr>
          <w:szCs w:val="22"/>
        </w:rPr>
        <w:t xml:space="preserve"> </w:t>
      </w:r>
      <w:r w:rsidRPr="003978CF">
        <w:rPr>
          <w:szCs w:val="22"/>
        </w:rPr>
        <w:t>От медицинските специалисти се изисква да съобщават всяка подозирана нежелана реакция чрез</w:t>
      </w:r>
    </w:p>
    <w:p w14:paraId="3A5D884E" w14:textId="77777777" w:rsidR="00A7264A" w:rsidRPr="005A4DCD" w:rsidRDefault="00A7264A" w:rsidP="007E1076">
      <w:pPr>
        <w:autoSpaceDE w:val="0"/>
        <w:autoSpaceDN w:val="0"/>
        <w:adjustRightInd w:val="0"/>
        <w:spacing w:line="240" w:lineRule="auto"/>
      </w:pPr>
      <w:r w:rsidRPr="005A4DCD">
        <w:t>Изпълнителна агенция по лекарствата</w:t>
      </w:r>
    </w:p>
    <w:p w14:paraId="3142DB9F" w14:textId="33AD5D83" w:rsidR="00A7264A" w:rsidRPr="005A4DCD" w:rsidRDefault="00A7264A" w:rsidP="007E1076">
      <w:pPr>
        <w:autoSpaceDE w:val="0"/>
        <w:autoSpaceDN w:val="0"/>
        <w:adjustRightInd w:val="0"/>
        <w:spacing w:line="240" w:lineRule="auto"/>
      </w:pPr>
      <w:r w:rsidRPr="005A4DCD">
        <w:t>ул. „Дамян Груев” № 8</w:t>
      </w:r>
    </w:p>
    <w:p w14:paraId="6CF040F2" w14:textId="1CE9451B" w:rsidR="00A7264A" w:rsidRPr="005A4DCD" w:rsidRDefault="00A7264A" w:rsidP="007E1076">
      <w:pPr>
        <w:autoSpaceDE w:val="0"/>
        <w:autoSpaceDN w:val="0"/>
        <w:adjustRightInd w:val="0"/>
        <w:spacing w:line="240" w:lineRule="auto"/>
      </w:pPr>
      <w:r w:rsidRPr="005A4DCD">
        <w:t>1303, София</w:t>
      </w:r>
    </w:p>
    <w:p w14:paraId="57F86A1D" w14:textId="77777777" w:rsidR="00A7264A" w:rsidRPr="005A4DCD" w:rsidRDefault="00A7264A" w:rsidP="007E1076">
      <w:pPr>
        <w:autoSpaceDE w:val="0"/>
        <w:autoSpaceDN w:val="0"/>
        <w:adjustRightInd w:val="0"/>
        <w:spacing w:line="240" w:lineRule="auto"/>
      </w:pPr>
      <w:r w:rsidRPr="005A4DCD">
        <w:t>Teл.: +35 928903417</w:t>
      </w:r>
    </w:p>
    <w:p w14:paraId="700BD172" w14:textId="77777777" w:rsidR="00A7264A" w:rsidRPr="00B132DA" w:rsidRDefault="00A7264A" w:rsidP="007E1076">
      <w:pPr>
        <w:spacing w:line="240" w:lineRule="auto"/>
      </w:pPr>
      <w:r w:rsidRPr="005A4DCD">
        <w:t xml:space="preserve">уебсайт: </w:t>
      </w:r>
      <w:r w:rsidRPr="00B132DA">
        <w:fldChar w:fldCharType="begin"/>
      </w:r>
      <w:r w:rsidRPr="005A4DCD">
        <w:instrText xml:space="preserve"> HYPERLINK "http://www.bda.bg/" </w:instrText>
      </w:r>
      <w:r w:rsidRPr="00B132DA">
        <w:fldChar w:fldCharType="separate"/>
      </w:r>
      <w:r w:rsidRPr="00B132DA">
        <w:t>www.bda.bg</w:t>
      </w:r>
      <w:r w:rsidRPr="00B132DA">
        <w:fldChar w:fldCharType="end"/>
      </w:r>
    </w:p>
    <w:p w14:paraId="106EE65F" w14:textId="77777777" w:rsidR="00F00876" w:rsidRPr="003978CF" w:rsidRDefault="00F00876" w:rsidP="000C1913">
      <w:pPr>
        <w:autoSpaceDE w:val="0"/>
        <w:autoSpaceDN w:val="0"/>
        <w:adjustRightInd w:val="0"/>
        <w:rPr>
          <w:szCs w:val="22"/>
        </w:rPr>
      </w:pPr>
    </w:p>
    <w:p w14:paraId="098889FB" w14:textId="77777777" w:rsidR="001D29E6" w:rsidRPr="003978CF" w:rsidRDefault="001D29E6" w:rsidP="000C1913">
      <w:pPr>
        <w:ind w:left="567" w:hanging="567"/>
      </w:pPr>
      <w:r w:rsidRPr="003978CF">
        <w:rPr>
          <w:b/>
        </w:rPr>
        <w:t>4.9</w:t>
      </w:r>
      <w:r w:rsidRPr="003978CF">
        <w:rPr>
          <w:b/>
        </w:rPr>
        <w:tab/>
      </w:r>
      <w:r w:rsidR="004B71A6" w:rsidRPr="003978CF">
        <w:rPr>
          <w:b/>
        </w:rPr>
        <w:t>Предозиране</w:t>
      </w:r>
    </w:p>
    <w:p w14:paraId="56220FE4" w14:textId="77777777" w:rsidR="001D29E6" w:rsidRPr="003978CF" w:rsidRDefault="001D29E6" w:rsidP="000C1913"/>
    <w:p w14:paraId="73C87006" w14:textId="77777777" w:rsidR="000D2CAE" w:rsidRPr="003978CF" w:rsidRDefault="000D2CAE" w:rsidP="000D2CAE">
      <w:pPr>
        <w:tabs>
          <w:tab w:val="clear" w:pos="567"/>
        </w:tabs>
        <w:spacing w:line="240" w:lineRule="auto"/>
        <w:rPr>
          <w:color w:val="000000"/>
          <w:szCs w:val="22"/>
          <w:lang w:eastAsia="pl-PL"/>
        </w:rPr>
      </w:pPr>
      <w:r w:rsidRPr="003978CF">
        <w:rPr>
          <w:color w:val="000000"/>
          <w:szCs w:val="22"/>
          <w:lang w:eastAsia="pl-PL"/>
        </w:rPr>
        <w:t>Предозирането при пациенти в напреднала възраст и особено при малки деца изисква специално внимание, тъй като при тези пациенти то може да се окаже фатално.</w:t>
      </w:r>
    </w:p>
    <w:p w14:paraId="6B7E79FB" w14:textId="77777777" w:rsidR="000D2CAE" w:rsidRPr="003978CF" w:rsidRDefault="000D2CAE" w:rsidP="000D2CAE">
      <w:pPr>
        <w:tabs>
          <w:tab w:val="clear" w:pos="567"/>
        </w:tabs>
        <w:spacing w:line="240" w:lineRule="auto"/>
        <w:rPr>
          <w:color w:val="000000"/>
          <w:szCs w:val="22"/>
          <w:lang w:eastAsia="pl-PL"/>
        </w:rPr>
      </w:pPr>
      <w:r w:rsidRPr="003978CF">
        <w:rPr>
          <w:color w:val="000000"/>
          <w:szCs w:val="22"/>
          <w:lang w:eastAsia="pl-PL"/>
        </w:rPr>
        <w:t>Поради ниската доза на ацетилсалициловата киселина, случайното предозиране на този лекарствен продукт е малко вероятно. Нарочното поглъщане на голям брой таблетки може да доведе до токсични нива в кръвта, което може да се случи и със закъснение от повече от 12 часа.</w:t>
      </w:r>
    </w:p>
    <w:p w14:paraId="6E1A9049" w14:textId="77777777" w:rsidR="002826DD" w:rsidRPr="003978CF" w:rsidRDefault="000D2CAE" w:rsidP="000D2CAE">
      <w:pPr>
        <w:tabs>
          <w:tab w:val="clear" w:pos="567"/>
        </w:tabs>
        <w:spacing w:line="240" w:lineRule="auto"/>
        <w:rPr>
          <w:szCs w:val="22"/>
        </w:rPr>
      </w:pPr>
      <w:r w:rsidRPr="003978CF">
        <w:rPr>
          <w:color w:val="000000"/>
          <w:szCs w:val="22"/>
          <w:lang w:eastAsia="pl-PL"/>
        </w:rPr>
        <w:t>Поглъщане на голям брой стомашно-устойчиви таблетки може да доведе до образуване на възел от залепени таблетки в стомаха, който е трудно да бъде премахнат</w:t>
      </w:r>
      <w:r w:rsidR="00002AF7" w:rsidRPr="003978CF">
        <w:rPr>
          <w:color w:val="000000"/>
          <w:szCs w:val="22"/>
          <w:lang w:eastAsia="pl-PL"/>
        </w:rPr>
        <w:t>.</w:t>
      </w:r>
    </w:p>
    <w:p w14:paraId="0C1E3556" w14:textId="77777777" w:rsidR="001D29E6" w:rsidRPr="003978CF" w:rsidRDefault="001D29E6" w:rsidP="000C1913"/>
    <w:p w14:paraId="7DF0DE9C" w14:textId="3C0CE078" w:rsidR="00002AF7" w:rsidRPr="003978CF" w:rsidRDefault="000D2CAE" w:rsidP="00002AF7">
      <w:pPr>
        <w:tabs>
          <w:tab w:val="clear" w:pos="567"/>
        </w:tabs>
        <w:autoSpaceDE w:val="0"/>
        <w:autoSpaceDN w:val="0"/>
        <w:adjustRightInd w:val="0"/>
        <w:spacing w:line="240" w:lineRule="auto"/>
        <w:rPr>
          <w:color w:val="000000"/>
          <w:szCs w:val="22"/>
          <w:u w:val="single"/>
          <w:lang w:eastAsia="pl-PL"/>
        </w:rPr>
      </w:pPr>
      <w:r w:rsidRPr="003978CF">
        <w:rPr>
          <w:color w:val="000000"/>
          <w:szCs w:val="22"/>
          <w:u w:val="single"/>
          <w:lang w:eastAsia="pl-PL"/>
        </w:rPr>
        <w:t>Симптоми</w:t>
      </w:r>
    </w:p>
    <w:p w14:paraId="1C98F39F" w14:textId="77777777" w:rsidR="00002AF7" w:rsidRPr="003978CF" w:rsidRDefault="000D2CAE" w:rsidP="00002AF7">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Симптомите на предозиране обикновено са: шум в ушите, хипервентилация, треска, гадене, повръщане, замъглено зрение, главоболие, замайване, объркване, нарушение на киселинно-алкалния и електролитен баланс, хипогликемия, кожни обриви</w:t>
      </w:r>
      <w:r w:rsidR="00002AF7" w:rsidRPr="003978CF">
        <w:rPr>
          <w:color w:val="000000"/>
          <w:szCs w:val="22"/>
          <w:lang w:eastAsia="pl-PL"/>
        </w:rPr>
        <w:t>.</w:t>
      </w:r>
    </w:p>
    <w:p w14:paraId="32C6D26F" w14:textId="77777777" w:rsidR="000D2CAE" w:rsidRPr="003978CF" w:rsidRDefault="000D2CAE" w:rsidP="000D2CAE">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В случай на остро предозиране, могат да се появят делириум, тремор, задух, изпотяване, възбуда и кома.</w:t>
      </w:r>
    </w:p>
    <w:p w14:paraId="1083C498" w14:textId="550C3642" w:rsidR="00002AF7" w:rsidRPr="003978CF" w:rsidRDefault="000D2CAE" w:rsidP="000D2CAE">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Салицилатното отравяне обикновено е свързано с плазмените концен</w:t>
      </w:r>
      <w:r w:rsidR="00F52184" w:rsidRPr="003978CF">
        <w:rPr>
          <w:color w:val="000000"/>
          <w:szCs w:val="22"/>
          <w:lang w:eastAsia="pl-PL"/>
        </w:rPr>
        <w:t>трации &gt; 350 mg/l</w:t>
      </w:r>
      <w:r w:rsidR="00583595" w:rsidRPr="003978CF">
        <w:rPr>
          <w:color w:val="000000"/>
          <w:szCs w:val="22"/>
          <w:lang w:eastAsia="pl-PL"/>
        </w:rPr>
        <w:t xml:space="preserve"> (2,</w:t>
      </w:r>
      <w:r w:rsidR="00F52184" w:rsidRPr="003978CF">
        <w:rPr>
          <w:color w:val="000000"/>
          <w:szCs w:val="22"/>
          <w:lang w:eastAsia="pl-PL"/>
        </w:rPr>
        <w:t>5 mmol/</w:t>
      </w:r>
      <w:r w:rsidRPr="003978CF">
        <w:rPr>
          <w:color w:val="000000"/>
          <w:szCs w:val="22"/>
          <w:lang w:eastAsia="pl-PL"/>
        </w:rPr>
        <w:t>l). Повечето смъртни случаи на възрастни се наблюдават при пациенти, чиито концентрации на</w:t>
      </w:r>
      <w:r w:rsidR="00F52184" w:rsidRPr="003978CF">
        <w:rPr>
          <w:color w:val="000000"/>
          <w:szCs w:val="22"/>
          <w:lang w:eastAsia="pl-PL"/>
        </w:rPr>
        <w:t>двишават 700 mg/l</w:t>
      </w:r>
      <w:r w:rsidR="00583595" w:rsidRPr="003978CF">
        <w:rPr>
          <w:color w:val="000000"/>
          <w:szCs w:val="22"/>
          <w:lang w:eastAsia="pl-PL"/>
        </w:rPr>
        <w:t xml:space="preserve"> (5,</w:t>
      </w:r>
      <w:r w:rsidR="00F52184" w:rsidRPr="003978CF">
        <w:rPr>
          <w:color w:val="000000"/>
          <w:szCs w:val="22"/>
          <w:lang w:eastAsia="pl-PL"/>
        </w:rPr>
        <w:t>1 mmol/</w:t>
      </w:r>
      <w:r w:rsidRPr="003978CF">
        <w:rPr>
          <w:color w:val="000000"/>
          <w:szCs w:val="22"/>
          <w:lang w:eastAsia="pl-PL"/>
        </w:rPr>
        <w:t>l). Единични дози от по-малк</w:t>
      </w:r>
      <w:r w:rsidR="00F52184" w:rsidRPr="003978CF">
        <w:rPr>
          <w:color w:val="000000"/>
          <w:szCs w:val="22"/>
          <w:lang w:eastAsia="pl-PL"/>
        </w:rPr>
        <w:t>о от 100 mg/</w:t>
      </w:r>
      <w:r w:rsidRPr="003978CF">
        <w:rPr>
          <w:color w:val="000000"/>
          <w:szCs w:val="22"/>
          <w:lang w:eastAsia="pl-PL"/>
        </w:rPr>
        <w:t>kg, е малко вероятно да причинят сериозно отравяне</w:t>
      </w:r>
      <w:r w:rsidR="00002AF7" w:rsidRPr="003978CF">
        <w:rPr>
          <w:color w:val="000000"/>
          <w:szCs w:val="22"/>
          <w:lang w:eastAsia="pl-PL"/>
        </w:rPr>
        <w:t>.</w:t>
      </w:r>
    </w:p>
    <w:p w14:paraId="2A19ADA6" w14:textId="77777777" w:rsidR="00002AF7" w:rsidRPr="003978CF" w:rsidRDefault="002F0F15" w:rsidP="00002AF7">
      <w:pPr>
        <w:rPr>
          <w:color w:val="000000"/>
          <w:szCs w:val="22"/>
          <w:lang w:eastAsia="pl-PL"/>
        </w:rPr>
      </w:pPr>
      <w:r w:rsidRPr="003978CF">
        <w:rPr>
          <w:color w:val="000000"/>
          <w:szCs w:val="22"/>
          <w:lang w:eastAsia="pl-PL"/>
        </w:rPr>
        <w:t>Смесената респираторна алкалоза и метаболитна ацидоза, с нормално или високо артериално рН (нормална или намалена концентрация на водородни йони), е обичайна при възрастни или деца на възраст над четири години. При децата на четири години или по-малко е често срещана доминираща метаболитна ацидоза с ниско артериално рН (повишена концентрация на водородни йони). Ацидозата може да увеличи преминаването на салицилатите през кръвно-мозъчната бариера</w:t>
      </w:r>
      <w:r w:rsidR="00002AF7" w:rsidRPr="003978CF">
        <w:rPr>
          <w:color w:val="000000"/>
          <w:szCs w:val="22"/>
          <w:lang w:eastAsia="pl-PL"/>
        </w:rPr>
        <w:t>.</w:t>
      </w:r>
    </w:p>
    <w:p w14:paraId="36277626" w14:textId="77777777" w:rsidR="00002AF7" w:rsidRPr="003978CF" w:rsidRDefault="00002AF7" w:rsidP="00002AF7">
      <w:pPr>
        <w:rPr>
          <w:color w:val="000000"/>
          <w:szCs w:val="22"/>
          <w:lang w:eastAsia="pl-PL"/>
        </w:rPr>
      </w:pPr>
    </w:p>
    <w:p w14:paraId="22EC562A" w14:textId="77777777" w:rsidR="00002AF7" w:rsidRPr="003978CF" w:rsidRDefault="002F0F15" w:rsidP="00002AF7">
      <w:pPr>
        <w:rPr>
          <w:szCs w:val="22"/>
          <w:u w:val="single"/>
        </w:rPr>
      </w:pPr>
      <w:r w:rsidRPr="003978CF">
        <w:rPr>
          <w:szCs w:val="22"/>
          <w:u w:val="single"/>
        </w:rPr>
        <w:t>Лечение</w:t>
      </w:r>
    </w:p>
    <w:p w14:paraId="5FB2523D" w14:textId="508A5393" w:rsidR="0013388B" w:rsidRPr="003978CF" w:rsidRDefault="002F0F15" w:rsidP="0013388B">
      <w:pPr>
        <w:rPr>
          <w:color w:val="000000"/>
          <w:szCs w:val="22"/>
          <w:lang w:eastAsia="pl-PL"/>
        </w:rPr>
      </w:pPr>
      <w:r w:rsidRPr="003978CF">
        <w:rPr>
          <w:color w:val="000000"/>
          <w:szCs w:val="22"/>
          <w:lang w:eastAsia="pl-PL"/>
        </w:rPr>
        <w:t>Лечението е да се намали абсорбцията на лекарствения продукт чрез отстраняване на стомашното съдържимо (повръщане или стомашна промивка - ако е минал не повече от един час от поглъщането на таблетките), ускоряване на елиминирането на лекарствения продукт, мониторинг на водно-електролитния баланс, на серумното ниво на салицилати, рН на урината, артериални кръвни газове, серумен креатинин, глюкоза в плазмата и урея в кръвта, както и нормализиране на температурата на тялото и дишането</w:t>
      </w:r>
      <w:r w:rsidR="00002AF7" w:rsidRPr="003978CF">
        <w:rPr>
          <w:color w:val="000000"/>
          <w:szCs w:val="22"/>
          <w:lang w:eastAsia="pl-PL"/>
        </w:rPr>
        <w:t>.</w:t>
      </w:r>
    </w:p>
    <w:p w14:paraId="5709C4DA" w14:textId="77777777" w:rsidR="00B6480F" w:rsidRPr="003978CF" w:rsidRDefault="00B6480F" w:rsidP="0013388B">
      <w:pPr>
        <w:rPr>
          <w:szCs w:val="22"/>
        </w:rPr>
      </w:pPr>
    </w:p>
    <w:p w14:paraId="2CD1BF1B" w14:textId="77777777" w:rsidR="0013388B" w:rsidRPr="003978CF" w:rsidRDefault="000134A1" w:rsidP="0013388B">
      <w:pPr>
        <w:rPr>
          <w:szCs w:val="22"/>
        </w:rPr>
      </w:pPr>
      <w:r w:rsidRPr="003978CF">
        <w:rPr>
          <w:szCs w:val="22"/>
        </w:rPr>
        <w:t>Прилага се активен въглен под формата на водна суспензия (в доза за възрастни 50-100 g и 30-60 g за деца), за да се намали абсорбцията на ацетилсалициловата киселина</w:t>
      </w:r>
      <w:r w:rsidR="0013388B" w:rsidRPr="003978CF">
        <w:rPr>
          <w:szCs w:val="22"/>
        </w:rPr>
        <w:t>.</w:t>
      </w:r>
    </w:p>
    <w:p w14:paraId="059D3578" w14:textId="77777777" w:rsidR="00002AF7" w:rsidRPr="003978CF" w:rsidRDefault="00002AF7" w:rsidP="00002AF7">
      <w:pPr>
        <w:tabs>
          <w:tab w:val="clear" w:pos="567"/>
        </w:tabs>
        <w:autoSpaceDE w:val="0"/>
        <w:autoSpaceDN w:val="0"/>
        <w:adjustRightInd w:val="0"/>
        <w:spacing w:line="240" w:lineRule="auto"/>
        <w:rPr>
          <w:color w:val="000000"/>
          <w:szCs w:val="22"/>
          <w:lang w:eastAsia="pl-PL"/>
        </w:rPr>
      </w:pPr>
    </w:p>
    <w:p w14:paraId="7B18FB15" w14:textId="77777777" w:rsidR="00002AF7" w:rsidRPr="003978CF" w:rsidRDefault="00260FF3" w:rsidP="00002AF7">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 xml:space="preserve">Елиминирането се увеличава чрез алкализиране на урината, което се постига чрез прилагане на 1,26% натриев бикарбонат. </w:t>
      </w:r>
      <w:r w:rsidR="00583595" w:rsidRPr="003978CF">
        <w:rPr>
          <w:color w:val="000000"/>
          <w:szCs w:val="22"/>
          <w:lang w:eastAsia="pl-PL"/>
        </w:rPr>
        <w:t xml:space="preserve">Трябва да се следи </w:t>
      </w:r>
      <w:r w:rsidRPr="003978CF">
        <w:rPr>
          <w:color w:val="000000"/>
          <w:szCs w:val="22"/>
          <w:lang w:eastAsia="pl-PL"/>
        </w:rPr>
        <w:t>рН на урината. Коригира се метаболитната ацидоза с интравенозно приложение на 8,4% разтвор на натриев бикарбонат (най-напред се проверяват нивата на серумния калий), хипокалиемията трябва да бъде коригирана преди да се даде натриев бикарбонат, защото алкализирането на урината може да бъде по-малко ефективно, ако плазмените нива</w:t>
      </w:r>
      <w:r w:rsidR="00583595" w:rsidRPr="003978CF">
        <w:rPr>
          <w:color w:val="000000"/>
          <w:szCs w:val="22"/>
          <w:lang w:eastAsia="pl-PL"/>
        </w:rPr>
        <w:t xml:space="preserve"> на калия паднат под 4,</w:t>
      </w:r>
      <w:r w:rsidR="00F52184" w:rsidRPr="003978CF">
        <w:rPr>
          <w:color w:val="000000"/>
          <w:szCs w:val="22"/>
          <w:lang w:eastAsia="pl-PL"/>
        </w:rPr>
        <w:t>0 mmol/</w:t>
      </w:r>
      <w:r w:rsidRPr="003978CF">
        <w:rPr>
          <w:color w:val="000000"/>
          <w:szCs w:val="22"/>
          <w:lang w:eastAsia="pl-PL"/>
        </w:rPr>
        <w:t>l. Форсирана диуреза не трябва да се използва, тъй като тя не подобрява екскрецията на салицилатите и може да доведе до белодробен оток</w:t>
      </w:r>
      <w:r w:rsidR="00002AF7" w:rsidRPr="003978CF">
        <w:rPr>
          <w:color w:val="000000"/>
          <w:szCs w:val="22"/>
          <w:lang w:eastAsia="pl-PL"/>
        </w:rPr>
        <w:t xml:space="preserve">. </w:t>
      </w:r>
    </w:p>
    <w:p w14:paraId="08654134" w14:textId="77777777" w:rsidR="00002AF7" w:rsidRPr="003978CF" w:rsidRDefault="00260FF3" w:rsidP="00002AF7">
      <w:pPr>
        <w:rPr>
          <w:color w:val="000000"/>
          <w:szCs w:val="22"/>
          <w:lang w:eastAsia="pl-PL"/>
        </w:rPr>
      </w:pPr>
      <w:r w:rsidRPr="003978CF">
        <w:rPr>
          <w:color w:val="000000"/>
          <w:szCs w:val="22"/>
          <w:lang w:eastAsia="pl-PL"/>
        </w:rPr>
        <w:t>Хемодиализата е лечение на избор за тежки отравяния и трябва да се има предвид при пациенти с плазмени концентрации на сал</w:t>
      </w:r>
      <w:r w:rsidR="00F52184" w:rsidRPr="003978CF">
        <w:rPr>
          <w:color w:val="000000"/>
          <w:szCs w:val="22"/>
          <w:lang w:eastAsia="pl-PL"/>
        </w:rPr>
        <w:t>ицилат &gt; 700 mg/l (5</w:t>
      </w:r>
      <w:r w:rsidR="00583595" w:rsidRPr="003978CF">
        <w:rPr>
          <w:color w:val="000000"/>
          <w:szCs w:val="22"/>
          <w:lang w:eastAsia="pl-PL"/>
        </w:rPr>
        <w:t>,</w:t>
      </w:r>
      <w:r w:rsidR="00F52184" w:rsidRPr="003978CF">
        <w:rPr>
          <w:color w:val="000000"/>
          <w:szCs w:val="22"/>
          <w:lang w:eastAsia="pl-PL"/>
        </w:rPr>
        <w:t>1 mmol/</w:t>
      </w:r>
      <w:r w:rsidRPr="003978CF">
        <w:rPr>
          <w:color w:val="000000"/>
          <w:szCs w:val="22"/>
          <w:lang w:eastAsia="pl-PL"/>
        </w:rPr>
        <w:t>l) или при по-ниски концентрации, свързани с тежки клинични или метаболитни функции. Пациенти под 10 или над 70 години имат увеличен риск от салицилатна токсичност и могат да се нуждаят от диализа на по-ранен етап</w:t>
      </w:r>
      <w:r w:rsidR="00002AF7" w:rsidRPr="003978CF">
        <w:rPr>
          <w:color w:val="000000"/>
          <w:szCs w:val="22"/>
          <w:lang w:eastAsia="pl-PL"/>
        </w:rPr>
        <w:t>.</w:t>
      </w:r>
    </w:p>
    <w:p w14:paraId="2F832303" w14:textId="77777777" w:rsidR="00002AF7" w:rsidRPr="003978CF" w:rsidRDefault="00002AF7" w:rsidP="00002AF7"/>
    <w:p w14:paraId="54E2E9A1" w14:textId="77777777" w:rsidR="00AC212D" w:rsidRPr="003978CF" w:rsidRDefault="00AC212D" w:rsidP="00002AF7"/>
    <w:p w14:paraId="2029A087" w14:textId="77777777" w:rsidR="001D29E6" w:rsidRPr="003978CF" w:rsidRDefault="001D29E6" w:rsidP="007E1076">
      <w:pPr>
        <w:keepNext/>
        <w:ind w:left="567" w:hanging="567"/>
      </w:pPr>
      <w:r w:rsidRPr="003978CF">
        <w:rPr>
          <w:b/>
        </w:rPr>
        <w:lastRenderedPageBreak/>
        <w:t>5.</w:t>
      </w:r>
      <w:r w:rsidRPr="003978CF">
        <w:rPr>
          <w:b/>
        </w:rPr>
        <w:tab/>
      </w:r>
      <w:r w:rsidR="004B71A6" w:rsidRPr="003978CF">
        <w:rPr>
          <w:b/>
        </w:rPr>
        <w:t>ФАРМАКОЛОГИЧНИ СВОЙСТВА</w:t>
      </w:r>
    </w:p>
    <w:p w14:paraId="7800291D" w14:textId="77777777" w:rsidR="001D29E6" w:rsidRPr="003978CF" w:rsidRDefault="001D29E6" w:rsidP="007E1076">
      <w:pPr>
        <w:keepNext/>
        <w:tabs>
          <w:tab w:val="clear" w:pos="567"/>
          <w:tab w:val="left" w:pos="0"/>
        </w:tabs>
      </w:pPr>
    </w:p>
    <w:p w14:paraId="39364814" w14:textId="77777777" w:rsidR="001D29E6" w:rsidRPr="003978CF" w:rsidRDefault="008C161C" w:rsidP="007E1076">
      <w:pPr>
        <w:keepNext/>
        <w:ind w:left="567" w:hanging="567"/>
      </w:pPr>
      <w:r w:rsidRPr="003978CF">
        <w:rPr>
          <w:b/>
        </w:rPr>
        <w:t>5.1</w:t>
      </w:r>
      <w:r w:rsidR="001D29E6" w:rsidRPr="003978CF">
        <w:rPr>
          <w:b/>
        </w:rPr>
        <w:tab/>
      </w:r>
      <w:r w:rsidR="004B71A6" w:rsidRPr="003978CF">
        <w:rPr>
          <w:b/>
        </w:rPr>
        <w:t>Фармакодинамични свойства</w:t>
      </w:r>
    </w:p>
    <w:p w14:paraId="7277FB8F" w14:textId="77777777" w:rsidR="001D29E6" w:rsidRPr="003978CF" w:rsidRDefault="001D29E6" w:rsidP="000C1913"/>
    <w:p w14:paraId="7FFA840C" w14:textId="77777777" w:rsidR="00777769" w:rsidRPr="003978CF" w:rsidRDefault="004B71A6" w:rsidP="000C1913">
      <w:r w:rsidRPr="003978CF">
        <w:rPr>
          <w:szCs w:val="22"/>
        </w:rPr>
        <w:t>Фармакотерапевтична група</w:t>
      </w:r>
      <w:r w:rsidR="001D29E6" w:rsidRPr="003978CF">
        <w:t xml:space="preserve">: </w:t>
      </w:r>
      <w:r w:rsidRPr="003978CF">
        <w:rPr>
          <w:szCs w:val="22"/>
        </w:rPr>
        <w:t>инхибитори на тромбоцитната агрегация, с изключение на хепарин</w:t>
      </w:r>
      <w:r w:rsidR="001D29E6" w:rsidRPr="003978CF">
        <w:t xml:space="preserve">, ATC </w:t>
      </w:r>
      <w:r w:rsidRPr="003978CF">
        <w:t>код</w:t>
      </w:r>
      <w:r w:rsidR="001D29E6" w:rsidRPr="003978CF">
        <w:t xml:space="preserve">: </w:t>
      </w:r>
      <w:r w:rsidR="00002AF7" w:rsidRPr="003978CF">
        <w:rPr>
          <w:szCs w:val="22"/>
        </w:rPr>
        <w:t>B01AC06</w:t>
      </w:r>
    </w:p>
    <w:p w14:paraId="48A8BE2A" w14:textId="77777777" w:rsidR="00002AF7" w:rsidRPr="003978CF" w:rsidRDefault="00002AF7" w:rsidP="00002AF7">
      <w:pPr>
        <w:tabs>
          <w:tab w:val="clear" w:pos="567"/>
        </w:tabs>
        <w:autoSpaceDE w:val="0"/>
        <w:autoSpaceDN w:val="0"/>
        <w:adjustRightInd w:val="0"/>
        <w:spacing w:line="240" w:lineRule="auto"/>
        <w:rPr>
          <w:color w:val="000000"/>
          <w:szCs w:val="22"/>
          <w:lang w:eastAsia="pl-PL"/>
        </w:rPr>
      </w:pPr>
    </w:p>
    <w:p w14:paraId="0C942A33" w14:textId="77777777" w:rsidR="00002AF7" w:rsidRPr="003978CF" w:rsidRDefault="006447C4" w:rsidP="00002AF7">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Ацетилсалициловата киселина е необратим инхибитор на циклооксигеназата, като инхибира синтезата на простагландин от арахидонова киселина. Този механизъм е отговорен за противовъзпалителното, антипиретичното и аналгетично действие</w:t>
      </w:r>
      <w:r w:rsidR="00002AF7" w:rsidRPr="003978CF">
        <w:rPr>
          <w:color w:val="000000"/>
          <w:szCs w:val="22"/>
          <w:lang w:eastAsia="pl-PL"/>
        </w:rPr>
        <w:t xml:space="preserve">. </w:t>
      </w:r>
    </w:p>
    <w:p w14:paraId="2B23B14F" w14:textId="77777777" w:rsidR="00002AF7" w:rsidRPr="003978CF" w:rsidRDefault="001D71A8" w:rsidP="00002AF7">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Най-важният ефект от ацетилсалициловата киселина при ниска доза от 75-150 mg е инхибирането на синтеза на тромбоксан А2, съединение</w:t>
      </w:r>
      <w:r w:rsidR="00583595" w:rsidRPr="003978CF">
        <w:rPr>
          <w:color w:val="000000"/>
          <w:szCs w:val="22"/>
          <w:lang w:eastAsia="pl-PL"/>
        </w:rPr>
        <w:t>,</w:t>
      </w:r>
      <w:r w:rsidRPr="003978CF">
        <w:rPr>
          <w:color w:val="000000"/>
          <w:szCs w:val="22"/>
          <w:lang w:eastAsia="pl-PL"/>
        </w:rPr>
        <w:t xml:space="preserve"> увеличаващо тромбоцитната агрегация и съдовото запушване. Инхибирането на тромбоцитната циклооксигеназа води до намаляване на способността им да агрегират</w:t>
      </w:r>
      <w:r w:rsidR="00002AF7" w:rsidRPr="003978CF">
        <w:rPr>
          <w:color w:val="000000"/>
          <w:szCs w:val="22"/>
          <w:lang w:eastAsia="pl-PL"/>
        </w:rPr>
        <w:t>.</w:t>
      </w:r>
    </w:p>
    <w:p w14:paraId="1355E1D1" w14:textId="77777777" w:rsidR="00002AF7" w:rsidRPr="003978CF" w:rsidRDefault="00F06D23" w:rsidP="00002AF7">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Тромбоцитната агрегация е основен процес, който определя постепенната стеноза на коронарните артерии при исхемична болест на сърцето. Разрастването на тромбоцитни агрегати върху атеросклеротично променените части от съдовете води до образуването на съсиреци, което постепенно влошава миокардната перфузия до настъпване на инфаркт на миокарда</w:t>
      </w:r>
      <w:r w:rsidR="00002AF7" w:rsidRPr="003978CF">
        <w:rPr>
          <w:color w:val="000000"/>
          <w:szCs w:val="22"/>
          <w:lang w:eastAsia="pl-PL"/>
        </w:rPr>
        <w:t>.</w:t>
      </w:r>
    </w:p>
    <w:p w14:paraId="60C4D8A7" w14:textId="77777777" w:rsidR="00002AF7" w:rsidRPr="003978CF" w:rsidRDefault="005A7250" w:rsidP="00002AF7">
      <w:pPr>
        <w:tabs>
          <w:tab w:val="clear" w:pos="567"/>
        </w:tabs>
        <w:autoSpaceDE w:val="0"/>
        <w:autoSpaceDN w:val="0"/>
        <w:adjustRightInd w:val="0"/>
        <w:spacing w:line="240" w:lineRule="auto"/>
        <w:rPr>
          <w:color w:val="000000"/>
          <w:szCs w:val="22"/>
          <w:lang w:eastAsia="pl-PL"/>
        </w:rPr>
      </w:pPr>
      <w:r w:rsidRPr="003978CF">
        <w:rPr>
          <w:color w:val="000000"/>
          <w:szCs w:val="22"/>
          <w:lang w:eastAsia="pl-PL"/>
        </w:rPr>
        <w:t>Резултатите от множество контролирани проучвания показват, че оптималното инхибиране на тромбоцитната циклооксигеназа в сравнение със съдовата може да се постигне като се използва ниска доза ацетилсалицилова киселина, от 40 mg до 150 mg на ден. Смята се, че ниска доза ацетилсалицилова киселина в стомашно-устойчиви таблетки, които не позволяват освобождаването на активното вещество в стомаха, води до получаване на концентрация в порталното кръвообращение, достатъчна да инхибира тромбоцитната циклооксигеназа, както и до ниска концентрация в периферната циркулация, което е защита срещу твърде силното инхибиране на синтеза на простациклин в съдовата стена и нежелани реакции</w:t>
      </w:r>
      <w:r w:rsidR="00002AF7" w:rsidRPr="003978CF">
        <w:rPr>
          <w:color w:val="000000"/>
          <w:szCs w:val="22"/>
          <w:lang w:eastAsia="pl-PL"/>
        </w:rPr>
        <w:t>.</w:t>
      </w:r>
    </w:p>
    <w:p w14:paraId="7AB874AD" w14:textId="77777777" w:rsidR="00C53ACC" w:rsidRPr="003978CF" w:rsidRDefault="005A7250" w:rsidP="00002AF7">
      <w:pPr>
        <w:spacing w:line="240" w:lineRule="auto"/>
        <w:jc w:val="both"/>
        <w:rPr>
          <w:bCs/>
          <w:iCs/>
          <w:szCs w:val="22"/>
        </w:rPr>
      </w:pPr>
      <w:r w:rsidRPr="003978CF">
        <w:rPr>
          <w:color w:val="000000"/>
          <w:szCs w:val="22"/>
          <w:lang w:eastAsia="pl-PL"/>
        </w:rPr>
        <w:t>Така ниските дози ацетилсалицилова киселина могат да действат по-ефективно, отколкото по-големите, като причиняват и по-малко нежелани реакции</w:t>
      </w:r>
      <w:r w:rsidR="00002AF7" w:rsidRPr="003978CF">
        <w:rPr>
          <w:color w:val="000000"/>
          <w:szCs w:val="22"/>
          <w:lang w:eastAsia="pl-PL"/>
        </w:rPr>
        <w:t>.</w:t>
      </w:r>
    </w:p>
    <w:p w14:paraId="11611446" w14:textId="77777777" w:rsidR="001D29E6" w:rsidRPr="003978CF" w:rsidRDefault="001D29E6" w:rsidP="000C1913"/>
    <w:p w14:paraId="54538BFC" w14:textId="77777777" w:rsidR="00002AF7" w:rsidRPr="003978CF" w:rsidRDefault="008B0515" w:rsidP="000C1913">
      <w:pPr>
        <w:rPr>
          <w:szCs w:val="22"/>
        </w:rPr>
      </w:pPr>
      <w:r w:rsidRPr="003978CF">
        <w:rPr>
          <w:szCs w:val="22"/>
        </w:rPr>
        <w:t>Експериментални данни показват</w:t>
      </w:r>
      <w:r w:rsidR="00692AD0">
        <w:rPr>
          <w:szCs w:val="22"/>
        </w:rPr>
        <w:t>, че ибупрофен може да инхибира</w:t>
      </w:r>
      <w:r w:rsidRPr="003978CF">
        <w:rPr>
          <w:szCs w:val="22"/>
        </w:rPr>
        <w:t xml:space="preserve"> ефекта на ниската доза ацетилсалицилова киселина върху тромбоцитната агрегация, когато се прилагат едновременно. В едно проучване, когато единична доза ибупрофен 400 mg се приема в рамките на 8 часа преди или в рамките на 30 минути непосредствено след приема на ацетилсалицилова киселина (81 mg), </w:t>
      </w:r>
      <w:r w:rsidR="00583595" w:rsidRPr="003978CF">
        <w:rPr>
          <w:szCs w:val="22"/>
        </w:rPr>
        <w:t>възниква</w:t>
      </w:r>
      <w:r w:rsidRPr="003978CF">
        <w:rPr>
          <w:szCs w:val="22"/>
        </w:rPr>
        <w:t xml:space="preserve"> намаляване на ефекта на ацетилсалициловата киселина върху образуването на тромбоксан или на тромбоцитната агрегация. Въпреки това, ограниченията на тези данни и несигурността относно екстраполацията на </w:t>
      </w:r>
      <w:r w:rsidR="00002AF7" w:rsidRPr="003978CF">
        <w:rPr>
          <w:i/>
          <w:iCs/>
          <w:szCs w:val="22"/>
        </w:rPr>
        <w:t xml:space="preserve">ex vivo </w:t>
      </w:r>
      <w:r w:rsidRPr="003978CF">
        <w:rPr>
          <w:iCs/>
          <w:szCs w:val="22"/>
        </w:rPr>
        <w:t xml:space="preserve">данните в клиничната практика </w:t>
      </w:r>
      <w:r w:rsidR="00B351CF" w:rsidRPr="003978CF">
        <w:rPr>
          <w:color w:val="000000"/>
          <w:szCs w:val="22"/>
          <w:lang w:eastAsia="pl-PL"/>
        </w:rPr>
        <w:t>означават, че не могат да бъдат направени категорични заключения за редовната употреба на ибупрофен, и не може да се има предвид никакъв клинично значим вероятен ефект при случайната употреба на ибупрофен</w:t>
      </w:r>
      <w:r w:rsidR="00002AF7" w:rsidRPr="003978CF">
        <w:rPr>
          <w:szCs w:val="22"/>
        </w:rPr>
        <w:t>.</w:t>
      </w:r>
    </w:p>
    <w:p w14:paraId="242E121F" w14:textId="77777777" w:rsidR="00002AF7" w:rsidRPr="003978CF" w:rsidRDefault="00002AF7" w:rsidP="000C1913"/>
    <w:p w14:paraId="167A055B" w14:textId="77777777" w:rsidR="001D29E6" w:rsidRPr="003978CF" w:rsidRDefault="001D29E6" w:rsidP="000C1913">
      <w:pPr>
        <w:ind w:left="567" w:hanging="567"/>
        <w:rPr>
          <w:b/>
        </w:rPr>
      </w:pPr>
      <w:r w:rsidRPr="003978CF">
        <w:rPr>
          <w:b/>
        </w:rPr>
        <w:t>5.2</w:t>
      </w:r>
      <w:r w:rsidRPr="003978CF">
        <w:rPr>
          <w:b/>
        </w:rPr>
        <w:tab/>
      </w:r>
      <w:r w:rsidR="004B71A6" w:rsidRPr="003978CF">
        <w:rPr>
          <w:b/>
          <w:szCs w:val="22"/>
        </w:rPr>
        <w:t>Фармакокинетични свойства</w:t>
      </w:r>
    </w:p>
    <w:p w14:paraId="622C4295" w14:textId="77777777" w:rsidR="00C53ACC" w:rsidRPr="003978CF" w:rsidRDefault="00C53ACC" w:rsidP="000C1913">
      <w:pPr>
        <w:ind w:left="567" w:hanging="567"/>
      </w:pPr>
    </w:p>
    <w:p w14:paraId="570335C1" w14:textId="77777777" w:rsidR="00304B40" w:rsidRPr="003978CF" w:rsidRDefault="004B71A6" w:rsidP="00304B40">
      <w:pPr>
        <w:pStyle w:val="Default"/>
        <w:rPr>
          <w:sz w:val="22"/>
          <w:szCs w:val="22"/>
          <w:u w:val="single"/>
          <w:lang w:val="bg-BG"/>
        </w:rPr>
      </w:pPr>
      <w:r w:rsidRPr="003978CF">
        <w:rPr>
          <w:sz w:val="22"/>
          <w:szCs w:val="22"/>
          <w:u w:val="single"/>
          <w:lang w:val="bg-BG"/>
        </w:rPr>
        <w:t>Абсорбция</w:t>
      </w:r>
      <w:r w:rsidR="00304B40" w:rsidRPr="003978CF">
        <w:rPr>
          <w:iCs/>
          <w:sz w:val="22"/>
          <w:szCs w:val="22"/>
          <w:u w:val="single"/>
          <w:lang w:val="bg-BG"/>
        </w:rPr>
        <w:t xml:space="preserve"> </w:t>
      </w:r>
    </w:p>
    <w:p w14:paraId="31320EF9" w14:textId="65B500D2" w:rsidR="00304B40" w:rsidRPr="003978CF" w:rsidRDefault="00880036" w:rsidP="00304B40">
      <w:pPr>
        <w:pStyle w:val="Default"/>
        <w:rPr>
          <w:sz w:val="22"/>
          <w:szCs w:val="22"/>
          <w:lang w:val="bg-BG"/>
        </w:rPr>
      </w:pPr>
      <w:r w:rsidRPr="003978CF">
        <w:rPr>
          <w:sz w:val="22"/>
          <w:szCs w:val="22"/>
          <w:lang w:val="bg-BG"/>
        </w:rPr>
        <w:t>Абсорбцията на ацетилсалицилова киселина от стомашно-устойчиви таблетки малко се различава в сравнение с конвенционалните форми. Тя започва в рамките на 3-6 часа след прилагане на лекарството, което доказва, че покритието ефективно блокира разпадане</w:t>
      </w:r>
      <w:r w:rsidR="00583595" w:rsidRPr="003978CF">
        <w:rPr>
          <w:sz w:val="22"/>
          <w:szCs w:val="22"/>
          <w:lang w:val="bg-BG"/>
        </w:rPr>
        <w:t>то</w:t>
      </w:r>
      <w:r w:rsidRPr="003978CF">
        <w:rPr>
          <w:sz w:val="22"/>
          <w:szCs w:val="22"/>
          <w:lang w:val="bg-BG"/>
        </w:rPr>
        <w:t xml:space="preserve"> на лекарството в стомаха</w:t>
      </w:r>
      <w:r w:rsidR="00304B40" w:rsidRPr="003978CF">
        <w:rPr>
          <w:sz w:val="22"/>
          <w:szCs w:val="22"/>
          <w:lang w:val="bg-BG"/>
        </w:rPr>
        <w:t>.</w:t>
      </w:r>
    </w:p>
    <w:p w14:paraId="68752279" w14:textId="6BED70FF" w:rsidR="00304B40" w:rsidRPr="003978CF" w:rsidRDefault="00880036" w:rsidP="00304B40">
      <w:pPr>
        <w:pStyle w:val="Default"/>
        <w:rPr>
          <w:sz w:val="22"/>
          <w:szCs w:val="22"/>
          <w:lang w:val="bg-BG"/>
        </w:rPr>
      </w:pPr>
      <w:r w:rsidRPr="003978CF">
        <w:rPr>
          <w:sz w:val="22"/>
          <w:szCs w:val="22"/>
          <w:lang w:val="bg-BG"/>
        </w:rPr>
        <w:t>Пиковата плазмена концентрация се получава след около 6 часа и е средно 12,7 μg/ml за 150 mg стомашно-устойчиви таблетки и 6,72 μg/ml за 75 mg стомашно-устойчиви таблетки</w:t>
      </w:r>
      <w:r w:rsidR="00304B40" w:rsidRPr="003978CF">
        <w:rPr>
          <w:sz w:val="22"/>
          <w:szCs w:val="22"/>
          <w:lang w:val="bg-BG"/>
        </w:rPr>
        <w:t>.</w:t>
      </w:r>
    </w:p>
    <w:p w14:paraId="70B868C0" w14:textId="0F14D862" w:rsidR="00304B40" w:rsidRPr="003978CF" w:rsidRDefault="00F471B4" w:rsidP="00304B40">
      <w:pPr>
        <w:pStyle w:val="Default"/>
        <w:rPr>
          <w:sz w:val="22"/>
          <w:szCs w:val="22"/>
          <w:lang w:val="bg-BG"/>
        </w:rPr>
      </w:pPr>
      <w:r w:rsidRPr="003978CF">
        <w:rPr>
          <w:sz w:val="22"/>
          <w:szCs w:val="22"/>
          <w:lang w:val="bg-BG"/>
        </w:rPr>
        <w:t>Присъствието на храна в стомашно-чревния тракт забавя абсорбцията, но не намалява бионаличността на ацетилсалициловата киселина</w:t>
      </w:r>
      <w:r w:rsidR="00304B40" w:rsidRPr="003978CF">
        <w:rPr>
          <w:sz w:val="22"/>
          <w:szCs w:val="22"/>
          <w:lang w:val="bg-BG"/>
        </w:rPr>
        <w:t>.</w:t>
      </w:r>
    </w:p>
    <w:p w14:paraId="6D97840F" w14:textId="2DBDD0E3" w:rsidR="00304B40" w:rsidRPr="003978CF" w:rsidRDefault="00F471B4" w:rsidP="00304B40">
      <w:pPr>
        <w:pStyle w:val="Default"/>
        <w:rPr>
          <w:sz w:val="22"/>
          <w:szCs w:val="22"/>
          <w:lang w:val="bg-BG"/>
        </w:rPr>
      </w:pPr>
      <w:r w:rsidRPr="003978CF">
        <w:rPr>
          <w:sz w:val="22"/>
          <w:szCs w:val="22"/>
          <w:lang w:val="bg-BG"/>
        </w:rPr>
        <w:t>80-100% от погълнатата доза ацетилсалицилова киселина се абсорбира от стомашно-чревния тракт</w:t>
      </w:r>
      <w:r w:rsidR="00304B40" w:rsidRPr="003978CF">
        <w:rPr>
          <w:sz w:val="22"/>
          <w:szCs w:val="22"/>
          <w:lang w:val="bg-BG"/>
        </w:rPr>
        <w:t>.</w:t>
      </w:r>
    </w:p>
    <w:p w14:paraId="68B22C75" w14:textId="77777777" w:rsidR="00304B40" w:rsidRPr="003978CF" w:rsidRDefault="00304B40" w:rsidP="00304B40">
      <w:pPr>
        <w:pStyle w:val="Default"/>
        <w:rPr>
          <w:i/>
          <w:iCs/>
          <w:sz w:val="22"/>
          <w:szCs w:val="22"/>
          <w:lang w:val="bg-BG"/>
        </w:rPr>
      </w:pPr>
    </w:p>
    <w:p w14:paraId="16606BD5" w14:textId="66037186" w:rsidR="00304B40" w:rsidRPr="003978CF" w:rsidRDefault="004B71A6" w:rsidP="00304B40">
      <w:pPr>
        <w:pStyle w:val="Default"/>
        <w:rPr>
          <w:sz w:val="22"/>
          <w:szCs w:val="22"/>
          <w:u w:val="single"/>
          <w:lang w:val="bg-BG"/>
        </w:rPr>
      </w:pPr>
      <w:r w:rsidRPr="003978CF">
        <w:rPr>
          <w:sz w:val="22"/>
          <w:szCs w:val="22"/>
          <w:u w:val="single"/>
          <w:lang w:val="bg-BG"/>
        </w:rPr>
        <w:t>Разпределение</w:t>
      </w:r>
    </w:p>
    <w:p w14:paraId="0C15905E" w14:textId="77777777" w:rsidR="00304B40" w:rsidRPr="003978CF" w:rsidRDefault="00F52184" w:rsidP="00304B40">
      <w:pPr>
        <w:pStyle w:val="Default"/>
        <w:rPr>
          <w:sz w:val="22"/>
          <w:szCs w:val="22"/>
          <w:lang w:val="bg-BG"/>
        </w:rPr>
      </w:pPr>
      <w:r w:rsidRPr="003978CF">
        <w:rPr>
          <w:sz w:val="22"/>
          <w:szCs w:val="22"/>
          <w:lang w:val="bg-BG"/>
        </w:rPr>
        <w:lastRenderedPageBreak/>
        <w:t>Ацетилсалициловата киселина бързо и екстензивно се разпределя в повечето от тъканите и телесните течности. Относителният обем на разпределение е приблизително 0,15 - 0,2 l/kg и се увеличава заедно с увеличаване на серумната концентрация на лекарството</w:t>
      </w:r>
      <w:r w:rsidR="00304B40" w:rsidRPr="003978CF">
        <w:rPr>
          <w:sz w:val="22"/>
          <w:szCs w:val="22"/>
          <w:lang w:val="bg-BG"/>
        </w:rPr>
        <w:t xml:space="preserve">. </w:t>
      </w:r>
    </w:p>
    <w:p w14:paraId="32500C4A" w14:textId="2D271273" w:rsidR="00304B40" w:rsidRPr="003978CF" w:rsidRDefault="00F52184" w:rsidP="00304B40">
      <w:pPr>
        <w:pStyle w:val="Default"/>
        <w:rPr>
          <w:sz w:val="22"/>
          <w:szCs w:val="22"/>
          <w:lang w:val="bg-BG"/>
        </w:rPr>
      </w:pPr>
      <w:r w:rsidRPr="003978CF">
        <w:rPr>
          <w:sz w:val="22"/>
          <w:szCs w:val="22"/>
          <w:lang w:val="bg-BG"/>
        </w:rPr>
        <w:t>Приблизително 33% от лекарството се свързва с протеини при серумна концентрация от 120 μg/ml. Степента на белтъчно свързване на лекарството зависи от концентрацията на албумина; при здрави доброволци то намалява заедно с намаляването на концентрацията на албумина. При бъбречна недостатъчност, по време на бременност и при новородени, свързването на ацетилсалициловата киселина с плазмените протеини намалява не само в резултат на хипоалбуминемия, но и поради натрупване на ендогенни вещества, които изместват лекарството от местата му за свързване с протеините</w:t>
      </w:r>
      <w:r w:rsidR="00304B40" w:rsidRPr="003978CF">
        <w:rPr>
          <w:sz w:val="22"/>
          <w:szCs w:val="22"/>
          <w:lang w:val="bg-BG"/>
        </w:rPr>
        <w:t>.</w:t>
      </w:r>
    </w:p>
    <w:p w14:paraId="43F437D1" w14:textId="77777777" w:rsidR="00304B40" w:rsidRPr="003978CF" w:rsidRDefault="00304B40" w:rsidP="00304B40">
      <w:pPr>
        <w:pStyle w:val="Default"/>
        <w:rPr>
          <w:i/>
          <w:iCs/>
          <w:sz w:val="22"/>
          <w:szCs w:val="22"/>
          <w:lang w:val="bg-BG"/>
        </w:rPr>
      </w:pPr>
    </w:p>
    <w:p w14:paraId="0B0E2AF7" w14:textId="4EFB876A" w:rsidR="00304B40" w:rsidRPr="003978CF" w:rsidRDefault="004B71A6" w:rsidP="00304B40">
      <w:pPr>
        <w:pStyle w:val="Default"/>
        <w:rPr>
          <w:sz w:val="22"/>
          <w:szCs w:val="22"/>
          <w:u w:val="single"/>
          <w:lang w:val="bg-BG"/>
        </w:rPr>
      </w:pPr>
      <w:r w:rsidRPr="003978CF">
        <w:rPr>
          <w:sz w:val="22"/>
          <w:szCs w:val="22"/>
          <w:u w:val="single"/>
          <w:lang w:val="bg-BG"/>
        </w:rPr>
        <w:t>Биотрансформация</w:t>
      </w:r>
    </w:p>
    <w:p w14:paraId="3992F7A2" w14:textId="2286CBD8" w:rsidR="00304B40" w:rsidRPr="003978CF" w:rsidRDefault="00EE2579" w:rsidP="00304B40">
      <w:pPr>
        <w:pStyle w:val="Default"/>
        <w:rPr>
          <w:sz w:val="22"/>
          <w:szCs w:val="22"/>
          <w:lang w:val="bg-BG"/>
        </w:rPr>
      </w:pPr>
      <w:r w:rsidRPr="003978CF">
        <w:rPr>
          <w:sz w:val="22"/>
          <w:szCs w:val="22"/>
          <w:lang w:val="bg-BG"/>
        </w:rPr>
        <w:t>Ацетилсалициловата киселина се метаболизира частично по време на абсорбцията. Този процес се извършва под въздействието на естераза, главно в черния дроб, но също така и в кръвния серум, еритроцитите и синовиалната течност</w:t>
      </w:r>
      <w:r w:rsidR="00304B40" w:rsidRPr="003978CF">
        <w:rPr>
          <w:sz w:val="22"/>
          <w:szCs w:val="22"/>
          <w:lang w:val="bg-BG"/>
        </w:rPr>
        <w:t>.</w:t>
      </w:r>
    </w:p>
    <w:p w14:paraId="5632DAA4" w14:textId="77777777" w:rsidR="00304B40" w:rsidRPr="003978CF" w:rsidRDefault="00FE306A" w:rsidP="00304B40">
      <w:pPr>
        <w:spacing w:line="240" w:lineRule="auto"/>
        <w:rPr>
          <w:szCs w:val="22"/>
        </w:rPr>
      </w:pPr>
      <w:r w:rsidRPr="003978CF">
        <w:rPr>
          <w:szCs w:val="22"/>
        </w:rPr>
        <w:t>Салицилатите се свързват главно с глицин до салицилпикочна киселина и с глюкуронова киселина до салицилов фенолглюкуронид и салицил</w:t>
      </w:r>
      <w:r w:rsidR="004029B0">
        <w:rPr>
          <w:szCs w:val="22"/>
        </w:rPr>
        <w:t>ацил</w:t>
      </w:r>
      <w:r w:rsidRPr="003978CF">
        <w:rPr>
          <w:szCs w:val="22"/>
        </w:rPr>
        <w:t xml:space="preserve"> глюкуронид; само малка част от тях се хидроксилира до дихидроксибензоена киселина, 2,3-дихидроксибензоена киселина и 2,3,5-трихидроксибензоената киселина. При жените процесът на хидроксилиране е по-бавен (по-ниска активност на серумната естераза)</w:t>
      </w:r>
      <w:r w:rsidR="00304B40" w:rsidRPr="003978CF">
        <w:rPr>
          <w:szCs w:val="22"/>
        </w:rPr>
        <w:t>.</w:t>
      </w:r>
    </w:p>
    <w:p w14:paraId="77FAA8C8" w14:textId="77777777" w:rsidR="00304B40" w:rsidRPr="003978CF" w:rsidRDefault="00304B40" w:rsidP="00304B40">
      <w:pPr>
        <w:spacing w:line="240" w:lineRule="auto"/>
        <w:rPr>
          <w:szCs w:val="22"/>
        </w:rPr>
      </w:pPr>
    </w:p>
    <w:p w14:paraId="6629ED60" w14:textId="77777777" w:rsidR="00304B40" w:rsidRPr="003978CF" w:rsidRDefault="004B71A6" w:rsidP="00304B40">
      <w:pPr>
        <w:pStyle w:val="Default"/>
        <w:rPr>
          <w:sz w:val="22"/>
          <w:szCs w:val="22"/>
          <w:u w:val="single"/>
          <w:lang w:val="bg-BG"/>
        </w:rPr>
      </w:pPr>
      <w:r w:rsidRPr="003978CF">
        <w:rPr>
          <w:sz w:val="22"/>
          <w:szCs w:val="22"/>
          <w:u w:val="single"/>
          <w:lang w:val="bg-BG"/>
        </w:rPr>
        <w:t>Елиминиране</w:t>
      </w:r>
      <w:r w:rsidR="00304B40" w:rsidRPr="003978CF">
        <w:rPr>
          <w:iCs/>
          <w:sz w:val="22"/>
          <w:szCs w:val="22"/>
          <w:u w:val="single"/>
          <w:lang w:val="bg-BG"/>
        </w:rPr>
        <w:t xml:space="preserve"> </w:t>
      </w:r>
    </w:p>
    <w:p w14:paraId="71846B4A" w14:textId="77777777" w:rsidR="00304B40" w:rsidRPr="003978CF" w:rsidRDefault="00D23817" w:rsidP="00304B40">
      <w:pPr>
        <w:spacing w:line="240" w:lineRule="auto"/>
      </w:pPr>
      <w:r w:rsidRPr="003978CF">
        <w:rPr>
          <w:szCs w:val="22"/>
        </w:rPr>
        <w:t>Полуживотът на плазмен</w:t>
      </w:r>
      <w:r w:rsidR="004029B0">
        <w:rPr>
          <w:szCs w:val="22"/>
        </w:rPr>
        <w:t>ото</w:t>
      </w:r>
      <w:r w:rsidRPr="003978CF">
        <w:rPr>
          <w:szCs w:val="22"/>
        </w:rPr>
        <w:t xml:space="preserve"> елимин</w:t>
      </w:r>
      <w:r w:rsidR="004029B0">
        <w:rPr>
          <w:szCs w:val="22"/>
        </w:rPr>
        <w:t>иране</w:t>
      </w:r>
      <w:r w:rsidRPr="003978CF">
        <w:rPr>
          <w:szCs w:val="22"/>
        </w:rPr>
        <w:t xml:space="preserve"> на ацетилсалициловата киселина е около 2-3 часа. За разлика от други салицилати, нехидролизираната ацетилсалицилова киселина не се натрупва в кръвния серум при повторно приложение. Само около 1% от пероралната доза на ацетилсалициловата киселина се отделя с урината в нехидролизирана форма, а останалата част се екскретира под формата на салицилати и техните метаболити. При пациенти с нормална бъбречна функция, 80-100% от еднократната доза от лекарството се отделя с урината в рамките на 24-72 часа</w:t>
      </w:r>
      <w:r w:rsidR="00304B40" w:rsidRPr="003978CF">
        <w:rPr>
          <w:szCs w:val="22"/>
        </w:rPr>
        <w:t>.</w:t>
      </w:r>
    </w:p>
    <w:p w14:paraId="0014F9E9" w14:textId="77777777" w:rsidR="00002AF7" w:rsidRPr="003978CF" w:rsidRDefault="00002AF7" w:rsidP="00825CF6">
      <w:pPr>
        <w:rPr>
          <w:szCs w:val="22"/>
        </w:rPr>
      </w:pPr>
    </w:p>
    <w:p w14:paraId="3FC41538" w14:textId="77777777" w:rsidR="001D29E6" w:rsidRPr="003978CF" w:rsidRDefault="001D29E6" w:rsidP="00825CF6">
      <w:pPr>
        <w:ind w:left="567" w:hanging="567"/>
      </w:pPr>
      <w:r w:rsidRPr="003978CF">
        <w:rPr>
          <w:b/>
        </w:rPr>
        <w:t>5.3</w:t>
      </w:r>
      <w:r w:rsidRPr="003978CF">
        <w:rPr>
          <w:b/>
        </w:rPr>
        <w:tab/>
      </w:r>
      <w:r w:rsidR="00373E39" w:rsidRPr="003978CF">
        <w:rPr>
          <w:b/>
          <w:szCs w:val="22"/>
        </w:rPr>
        <w:t>Предклинични данни за безопасност</w:t>
      </w:r>
    </w:p>
    <w:p w14:paraId="606EDA50" w14:textId="77777777" w:rsidR="001D29E6" w:rsidRPr="003978CF" w:rsidRDefault="001D29E6" w:rsidP="000C1913"/>
    <w:p w14:paraId="17BA15CB" w14:textId="77777777" w:rsidR="00181598" w:rsidRPr="003978CF" w:rsidRDefault="00B12C09" w:rsidP="00181598">
      <w:pPr>
        <w:rPr>
          <w:color w:val="000000"/>
          <w:szCs w:val="22"/>
          <w:lang w:eastAsia="pl-PL"/>
        </w:rPr>
      </w:pPr>
      <w:r w:rsidRPr="003978CF">
        <w:t>Предклиничният профил на безопасност на ацетилсалициловата киселина е добре документиран</w:t>
      </w:r>
      <w:r w:rsidR="00181598" w:rsidRPr="003978CF">
        <w:t>.</w:t>
      </w:r>
      <w:r w:rsidR="00181598" w:rsidRPr="003978CF">
        <w:rPr>
          <w:color w:val="000000"/>
          <w:szCs w:val="22"/>
          <w:lang w:eastAsia="pl-PL"/>
        </w:rPr>
        <w:t xml:space="preserve"> </w:t>
      </w:r>
    </w:p>
    <w:p w14:paraId="58E2C158" w14:textId="77777777" w:rsidR="00181598" w:rsidRPr="003978CF" w:rsidRDefault="00181598" w:rsidP="00181598">
      <w:pPr>
        <w:rPr>
          <w:color w:val="000000"/>
          <w:szCs w:val="22"/>
          <w:lang w:eastAsia="pl-PL"/>
        </w:rPr>
      </w:pPr>
    </w:p>
    <w:p w14:paraId="0E203A71" w14:textId="77777777" w:rsidR="00181598" w:rsidRPr="003978CF" w:rsidRDefault="00770A37" w:rsidP="00181598">
      <w:pPr>
        <w:rPr>
          <w:color w:val="000000"/>
          <w:szCs w:val="22"/>
          <w:lang w:eastAsia="pl-PL"/>
        </w:rPr>
      </w:pPr>
      <w:r w:rsidRPr="003978CF">
        <w:rPr>
          <w:color w:val="000000"/>
          <w:szCs w:val="22"/>
          <w:lang w:eastAsia="pl-PL"/>
        </w:rPr>
        <w:t xml:space="preserve">При проучвания върху животни салицилатите причиняват увреждане на бъбреците при високи дози, но не водят до други органни лезии. Ацетилсалициловата киселина е широко изследвана </w:t>
      </w:r>
      <w:r w:rsidRPr="003978CF">
        <w:rPr>
          <w:i/>
          <w:color w:val="000000"/>
          <w:szCs w:val="22"/>
          <w:lang w:eastAsia="pl-PL"/>
        </w:rPr>
        <w:t>in vitro</w:t>
      </w:r>
      <w:r w:rsidRPr="003978CF">
        <w:rPr>
          <w:color w:val="000000"/>
          <w:szCs w:val="22"/>
          <w:lang w:eastAsia="pl-PL"/>
        </w:rPr>
        <w:t xml:space="preserve"> и </w:t>
      </w:r>
      <w:r w:rsidRPr="003978CF">
        <w:rPr>
          <w:i/>
          <w:color w:val="000000"/>
          <w:szCs w:val="22"/>
          <w:lang w:eastAsia="pl-PL"/>
        </w:rPr>
        <w:t>in vivo</w:t>
      </w:r>
      <w:r w:rsidRPr="003978CF">
        <w:rPr>
          <w:color w:val="000000"/>
          <w:szCs w:val="22"/>
          <w:lang w:eastAsia="pl-PL"/>
        </w:rPr>
        <w:t xml:space="preserve"> за мутагенност; не са открити съществени доказателства за мутагенен потенциал. Същото важи и за изследванията за канцерогенност</w:t>
      </w:r>
      <w:r w:rsidR="00181598" w:rsidRPr="003978CF">
        <w:rPr>
          <w:color w:val="000000"/>
          <w:szCs w:val="22"/>
          <w:lang w:eastAsia="pl-PL"/>
        </w:rPr>
        <w:t>.</w:t>
      </w:r>
    </w:p>
    <w:p w14:paraId="056EC2FE" w14:textId="77777777" w:rsidR="00181598" w:rsidRPr="003978CF" w:rsidRDefault="00181598" w:rsidP="00181598">
      <w:pPr>
        <w:rPr>
          <w:color w:val="000000"/>
          <w:szCs w:val="22"/>
          <w:lang w:eastAsia="pl-PL"/>
        </w:rPr>
      </w:pPr>
    </w:p>
    <w:p w14:paraId="053B37C2" w14:textId="2846EB3F" w:rsidR="00181598" w:rsidRPr="003978CF" w:rsidRDefault="00C95CD6" w:rsidP="00785028">
      <w:pPr>
        <w:rPr>
          <w:color w:val="000000"/>
          <w:szCs w:val="22"/>
          <w:lang w:eastAsia="pl-PL"/>
        </w:rPr>
      </w:pPr>
      <w:r w:rsidRPr="003978CF">
        <w:rPr>
          <w:color w:val="000000"/>
          <w:szCs w:val="22"/>
          <w:lang w:eastAsia="pl-PL"/>
        </w:rPr>
        <w:t>Салицилатите са показали тератогенни ефекти при изследвания върху животни и при няколко различни видове. След пренатална експозиция са описани са нарушения на имплантацията, ембриотоксичен и фетотоксичен ефект, както и увреждане на способността за учене в поколението</w:t>
      </w:r>
      <w:r w:rsidR="00181598" w:rsidRPr="003978CF">
        <w:rPr>
          <w:color w:val="000000"/>
          <w:szCs w:val="22"/>
          <w:lang w:eastAsia="pl-PL"/>
        </w:rPr>
        <w:t>.</w:t>
      </w:r>
    </w:p>
    <w:p w14:paraId="4BD6CAC4" w14:textId="77777777" w:rsidR="00002AF7" w:rsidRPr="003978CF" w:rsidRDefault="00002AF7" w:rsidP="000C1913"/>
    <w:p w14:paraId="0A2DB160" w14:textId="77777777" w:rsidR="00AC212D" w:rsidRPr="003978CF" w:rsidRDefault="00AC212D" w:rsidP="000C1913"/>
    <w:p w14:paraId="15FA6022" w14:textId="77777777" w:rsidR="001D29E6" w:rsidRPr="003978CF" w:rsidRDefault="001D29E6" w:rsidP="000C1913">
      <w:pPr>
        <w:ind w:left="567" w:hanging="567"/>
        <w:rPr>
          <w:b/>
        </w:rPr>
      </w:pPr>
      <w:r w:rsidRPr="003978CF">
        <w:rPr>
          <w:b/>
        </w:rPr>
        <w:t>6.</w:t>
      </w:r>
      <w:r w:rsidRPr="003978CF">
        <w:rPr>
          <w:b/>
        </w:rPr>
        <w:tab/>
      </w:r>
      <w:r w:rsidR="00373E39" w:rsidRPr="003978CF">
        <w:rPr>
          <w:b/>
          <w:szCs w:val="22"/>
        </w:rPr>
        <w:t>ФАРМАЦЕВТИЧНИ ДАННИ</w:t>
      </w:r>
    </w:p>
    <w:p w14:paraId="4146AAEE" w14:textId="77777777" w:rsidR="001D29E6" w:rsidRPr="003978CF" w:rsidRDefault="001D29E6" w:rsidP="000C1913"/>
    <w:p w14:paraId="4F18373D" w14:textId="77777777" w:rsidR="001D29E6" w:rsidRPr="003978CF" w:rsidRDefault="001D29E6" w:rsidP="000C1913">
      <w:pPr>
        <w:ind w:left="567" w:hanging="567"/>
        <w:rPr>
          <w:b/>
        </w:rPr>
      </w:pPr>
      <w:r w:rsidRPr="003978CF">
        <w:rPr>
          <w:b/>
        </w:rPr>
        <w:t>6.1</w:t>
      </w:r>
      <w:r w:rsidRPr="003978CF">
        <w:rPr>
          <w:b/>
        </w:rPr>
        <w:tab/>
      </w:r>
      <w:r w:rsidR="00373E39" w:rsidRPr="003978CF">
        <w:rPr>
          <w:b/>
          <w:szCs w:val="22"/>
        </w:rPr>
        <w:t>Списък на помощните вещества</w:t>
      </w:r>
    </w:p>
    <w:p w14:paraId="6F0C03A3" w14:textId="77777777" w:rsidR="001D29E6" w:rsidRPr="003978CF" w:rsidRDefault="001D29E6" w:rsidP="000C1913"/>
    <w:p w14:paraId="3AF4744F" w14:textId="77777777" w:rsidR="00002AF7" w:rsidRPr="003978CF" w:rsidRDefault="004066B8" w:rsidP="00002AF7">
      <w:r>
        <w:rPr>
          <w:i/>
        </w:rPr>
        <w:t>Ядро</w:t>
      </w:r>
      <w:r w:rsidRPr="003978CF">
        <w:rPr>
          <w:i/>
        </w:rPr>
        <w:t xml:space="preserve"> </w:t>
      </w:r>
      <w:r w:rsidR="006D432C" w:rsidRPr="003978CF">
        <w:rPr>
          <w:i/>
        </w:rPr>
        <w:t>на таблетката</w:t>
      </w:r>
      <w:r w:rsidR="00002AF7" w:rsidRPr="003978CF">
        <w:t>:</w:t>
      </w:r>
    </w:p>
    <w:p w14:paraId="4F1ECA59" w14:textId="77777777" w:rsidR="00002AF7" w:rsidRPr="003978CF" w:rsidRDefault="006D432C" w:rsidP="00002AF7">
      <w:r w:rsidRPr="003978CF">
        <w:rPr>
          <w:szCs w:val="22"/>
        </w:rPr>
        <w:t>Целулоза на прах</w:t>
      </w:r>
    </w:p>
    <w:p w14:paraId="6B459564" w14:textId="77777777" w:rsidR="00002AF7" w:rsidRPr="003978CF" w:rsidRDefault="006D432C" w:rsidP="00002AF7">
      <w:r w:rsidRPr="003978CF">
        <w:rPr>
          <w:szCs w:val="22"/>
        </w:rPr>
        <w:t>Царевично нишесте</w:t>
      </w:r>
    </w:p>
    <w:p w14:paraId="67810E18" w14:textId="77777777" w:rsidR="00002AF7" w:rsidRPr="003978CF" w:rsidRDefault="006D432C" w:rsidP="00002AF7">
      <w:r w:rsidRPr="003978CF">
        <w:rPr>
          <w:szCs w:val="22"/>
        </w:rPr>
        <w:t>Натриев нишестен гликолат (тип C)</w:t>
      </w:r>
    </w:p>
    <w:p w14:paraId="5D0696CB" w14:textId="77777777" w:rsidR="00D46552" w:rsidRPr="003978CF" w:rsidRDefault="00D46552" w:rsidP="00002AF7"/>
    <w:p w14:paraId="60D3CF0C" w14:textId="77777777" w:rsidR="00002AF7" w:rsidRPr="003978CF" w:rsidRDefault="006D432C" w:rsidP="00002AF7">
      <w:r w:rsidRPr="003978CF">
        <w:rPr>
          <w:i/>
        </w:rPr>
        <w:t>Филмово покритие на таблетката</w:t>
      </w:r>
      <w:r w:rsidR="00002AF7" w:rsidRPr="003978CF">
        <w:t>:</w:t>
      </w:r>
    </w:p>
    <w:p w14:paraId="38BAEF61" w14:textId="77777777" w:rsidR="00002AF7" w:rsidRPr="003978CF" w:rsidRDefault="006D432C" w:rsidP="00002AF7">
      <w:r w:rsidRPr="003978CF">
        <w:rPr>
          <w:szCs w:val="22"/>
        </w:rPr>
        <w:lastRenderedPageBreak/>
        <w:t>Хипромелоза</w:t>
      </w:r>
    </w:p>
    <w:p w14:paraId="767E24EA" w14:textId="77777777" w:rsidR="00A05B2C" w:rsidRPr="003978CF" w:rsidRDefault="006D432C" w:rsidP="006D432C">
      <w:pPr>
        <w:tabs>
          <w:tab w:val="left" w:pos="1725"/>
        </w:tabs>
      </w:pPr>
      <w:r w:rsidRPr="003978CF">
        <w:rPr>
          <w:szCs w:val="22"/>
        </w:rPr>
        <w:t>Триетил цитрат</w:t>
      </w:r>
    </w:p>
    <w:p w14:paraId="605B2C8D" w14:textId="77777777" w:rsidR="00B93B78" w:rsidRPr="003978CF" w:rsidRDefault="006D432C" w:rsidP="00A05B2C">
      <w:r w:rsidRPr="003978CF">
        <w:rPr>
          <w:szCs w:val="22"/>
        </w:rPr>
        <w:t>Симетиконова емулсия</w:t>
      </w:r>
    </w:p>
    <w:p w14:paraId="24C90DB1" w14:textId="77777777" w:rsidR="00002AF7" w:rsidRPr="003978CF" w:rsidRDefault="004066B8" w:rsidP="00002AF7">
      <w:r>
        <w:rPr>
          <w:lang w:val="en-US"/>
        </w:rPr>
        <w:t>Acryl</w:t>
      </w:r>
      <w:r w:rsidRPr="007E1076">
        <w:rPr>
          <w:lang w:val="ru-RU"/>
        </w:rPr>
        <w:t>-</w:t>
      </w:r>
      <w:r>
        <w:rPr>
          <w:lang w:val="en-US"/>
        </w:rPr>
        <w:t>Eze</w:t>
      </w:r>
      <w:r w:rsidRPr="007E1076">
        <w:rPr>
          <w:lang w:val="ru-RU"/>
        </w:rPr>
        <w:t xml:space="preserve"> </w:t>
      </w:r>
      <w:r>
        <w:rPr>
          <w:lang w:val="en-US"/>
        </w:rPr>
        <w:t>White</w:t>
      </w:r>
      <w:r w:rsidR="00002AF7" w:rsidRPr="003978CF">
        <w:t>:</w:t>
      </w:r>
    </w:p>
    <w:p w14:paraId="501F0B6D" w14:textId="77777777" w:rsidR="00002AF7" w:rsidRPr="003978CF" w:rsidRDefault="004066B8" w:rsidP="00A05B2C">
      <w:pPr>
        <w:numPr>
          <w:ilvl w:val="0"/>
          <w:numId w:val="39"/>
        </w:numPr>
      </w:pPr>
      <w:r>
        <w:rPr>
          <w:szCs w:val="22"/>
        </w:rPr>
        <w:t xml:space="preserve">Съполимер на </w:t>
      </w:r>
      <w:r w:rsidRPr="003978CF">
        <w:rPr>
          <w:szCs w:val="22"/>
        </w:rPr>
        <w:t>метакрилова</w:t>
      </w:r>
      <w:r w:rsidR="006D432C" w:rsidRPr="003978CF">
        <w:rPr>
          <w:szCs w:val="22"/>
        </w:rPr>
        <w:t xml:space="preserve"> киселина </w:t>
      </w:r>
      <w:r>
        <w:rPr>
          <w:szCs w:val="22"/>
        </w:rPr>
        <w:t>и</w:t>
      </w:r>
      <w:r w:rsidRPr="003978CF">
        <w:rPr>
          <w:szCs w:val="22"/>
        </w:rPr>
        <w:t xml:space="preserve"> </w:t>
      </w:r>
      <w:r w:rsidR="006D432C" w:rsidRPr="003978CF">
        <w:rPr>
          <w:szCs w:val="22"/>
        </w:rPr>
        <w:t>етилакрилат (1:1)</w:t>
      </w:r>
    </w:p>
    <w:p w14:paraId="5206436A" w14:textId="77777777" w:rsidR="00002AF7" w:rsidRPr="003978CF" w:rsidRDefault="004066B8" w:rsidP="00A05B2C">
      <w:pPr>
        <w:numPr>
          <w:ilvl w:val="0"/>
          <w:numId w:val="39"/>
        </w:numPr>
      </w:pPr>
      <w:r w:rsidRPr="003978CF">
        <w:t>Tал</w:t>
      </w:r>
      <w:r>
        <w:t>к</w:t>
      </w:r>
    </w:p>
    <w:p w14:paraId="55552C26" w14:textId="77777777" w:rsidR="00002AF7" w:rsidRPr="003978CF" w:rsidRDefault="004029B0" w:rsidP="00A05B2C">
      <w:pPr>
        <w:numPr>
          <w:ilvl w:val="0"/>
          <w:numId w:val="39"/>
        </w:numPr>
      </w:pPr>
      <w:r>
        <w:rPr>
          <w:szCs w:val="22"/>
        </w:rPr>
        <w:t>Титано</w:t>
      </w:r>
      <w:r w:rsidR="006D432C" w:rsidRPr="003978CF">
        <w:rPr>
          <w:szCs w:val="22"/>
        </w:rPr>
        <w:t>в диоксид</w:t>
      </w:r>
    </w:p>
    <w:p w14:paraId="3F8B8433" w14:textId="77777777" w:rsidR="00002AF7" w:rsidRPr="003978CF" w:rsidRDefault="006D432C" w:rsidP="00A05B2C">
      <w:pPr>
        <w:numPr>
          <w:ilvl w:val="0"/>
          <w:numId w:val="39"/>
        </w:numPr>
      </w:pPr>
      <w:r w:rsidRPr="003978CF">
        <w:rPr>
          <w:szCs w:val="22"/>
        </w:rPr>
        <w:t>Колоиден безводен силициев диоксид</w:t>
      </w:r>
    </w:p>
    <w:p w14:paraId="665B5C8F" w14:textId="77777777" w:rsidR="00002AF7" w:rsidRPr="003978CF" w:rsidRDefault="006D432C" w:rsidP="00A05B2C">
      <w:pPr>
        <w:numPr>
          <w:ilvl w:val="0"/>
          <w:numId w:val="39"/>
        </w:numPr>
      </w:pPr>
      <w:r w:rsidRPr="003978CF">
        <w:rPr>
          <w:szCs w:val="22"/>
        </w:rPr>
        <w:t>Натриев хидроген карбонат</w:t>
      </w:r>
    </w:p>
    <w:p w14:paraId="59FAD774" w14:textId="77777777" w:rsidR="00002AF7" w:rsidRPr="003978CF" w:rsidRDefault="006D432C" w:rsidP="00A05B2C">
      <w:pPr>
        <w:numPr>
          <w:ilvl w:val="0"/>
          <w:numId w:val="39"/>
        </w:numPr>
      </w:pPr>
      <w:r w:rsidRPr="003978CF">
        <w:rPr>
          <w:szCs w:val="22"/>
        </w:rPr>
        <w:t>Натриев лаурилсулфат</w:t>
      </w:r>
    </w:p>
    <w:p w14:paraId="07286080" w14:textId="77777777" w:rsidR="00AC212D" w:rsidRPr="003978CF" w:rsidRDefault="00AC212D" w:rsidP="00AC212D"/>
    <w:p w14:paraId="330ABC6F" w14:textId="77777777" w:rsidR="001D29E6" w:rsidRPr="003978CF" w:rsidRDefault="001D29E6" w:rsidP="000C1913">
      <w:pPr>
        <w:ind w:left="567" w:hanging="567"/>
      </w:pPr>
      <w:r w:rsidRPr="003978CF">
        <w:rPr>
          <w:b/>
        </w:rPr>
        <w:t>6.2</w:t>
      </w:r>
      <w:r w:rsidRPr="003978CF">
        <w:rPr>
          <w:b/>
        </w:rPr>
        <w:tab/>
      </w:r>
      <w:r w:rsidR="00373E39" w:rsidRPr="003978CF">
        <w:rPr>
          <w:b/>
          <w:szCs w:val="22"/>
        </w:rPr>
        <w:t>Несъвместимости</w:t>
      </w:r>
    </w:p>
    <w:p w14:paraId="3DEBAF10" w14:textId="77777777" w:rsidR="001D29E6" w:rsidRPr="003978CF" w:rsidRDefault="001D29E6" w:rsidP="000C1913"/>
    <w:p w14:paraId="15A7D042" w14:textId="77777777" w:rsidR="001D29E6" w:rsidRPr="003978CF" w:rsidRDefault="00373E39" w:rsidP="000C1913">
      <w:r w:rsidRPr="003978CF">
        <w:rPr>
          <w:szCs w:val="22"/>
        </w:rPr>
        <w:t>Неприложимо</w:t>
      </w:r>
      <w:r w:rsidR="007B5ED0" w:rsidRPr="003978CF">
        <w:t>.</w:t>
      </w:r>
    </w:p>
    <w:p w14:paraId="61ED267A" w14:textId="77777777" w:rsidR="00F408D6" w:rsidRPr="003978CF" w:rsidRDefault="00F408D6" w:rsidP="000C1913"/>
    <w:p w14:paraId="61EA007E" w14:textId="77777777" w:rsidR="001D29E6" w:rsidRPr="003978CF" w:rsidRDefault="001D29E6" w:rsidP="000C1913">
      <w:pPr>
        <w:ind w:left="567" w:hanging="567"/>
      </w:pPr>
      <w:r w:rsidRPr="003978CF">
        <w:rPr>
          <w:b/>
        </w:rPr>
        <w:t>6.3</w:t>
      </w:r>
      <w:r w:rsidRPr="003978CF">
        <w:rPr>
          <w:b/>
        </w:rPr>
        <w:tab/>
      </w:r>
      <w:r w:rsidR="00373E39" w:rsidRPr="003978CF">
        <w:rPr>
          <w:b/>
          <w:szCs w:val="22"/>
        </w:rPr>
        <w:t>Срок на годност</w:t>
      </w:r>
    </w:p>
    <w:p w14:paraId="6921CA5F" w14:textId="77777777" w:rsidR="001D29E6" w:rsidRPr="003978CF" w:rsidRDefault="001D29E6" w:rsidP="000C1913"/>
    <w:p w14:paraId="505D8E3B" w14:textId="77777777" w:rsidR="00141EA6" w:rsidRPr="003978CF" w:rsidRDefault="00373E39" w:rsidP="007E3DB1">
      <w:r w:rsidRPr="003978CF">
        <w:rPr>
          <w:szCs w:val="22"/>
        </w:rPr>
        <w:t>2 години</w:t>
      </w:r>
    </w:p>
    <w:p w14:paraId="3026409B" w14:textId="77777777" w:rsidR="00AC212D" w:rsidRPr="003978CF" w:rsidRDefault="00AC212D" w:rsidP="000C1913"/>
    <w:p w14:paraId="4689459D" w14:textId="77777777" w:rsidR="001D29E6" w:rsidRPr="003978CF" w:rsidRDefault="001D29E6" w:rsidP="000C1913">
      <w:pPr>
        <w:ind w:left="567" w:hanging="567"/>
        <w:rPr>
          <w:b/>
        </w:rPr>
      </w:pPr>
      <w:r w:rsidRPr="003978CF">
        <w:rPr>
          <w:b/>
        </w:rPr>
        <w:t>6.4</w:t>
      </w:r>
      <w:r w:rsidRPr="003978CF">
        <w:rPr>
          <w:b/>
        </w:rPr>
        <w:tab/>
      </w:r>
      <w:r w:rsidR="00373E39" w:rsidRPr="003978CF">
        <w:rPr>
          <w:b/>
          <w:szCs w:val="22"/>
        </w:rPr>
        <w:t>Специални условия на съхранение</w:t>
      </w:r>
    </w:p>
    <w:p w14:paraId="1B406091" w14:textId="77777777" w:rsidR="001D29E6" w:rsidRPr="003978CF" w:rsidRDefault="001D29E6" w:rsidP="000C1913">
      <w:pPr>
        <w:rPr>
          <w:i/>
          <w:iCs/>
        </w:rPr>
      </w:pPr>
    </w:p>
    <w:p w14:paraId="0FC56DED" w14:textId="77777777" w:rsidR="007E3DB1" w:rsidRPr="003978CF" w:rsidRDefault="00373E39" w:rsidP="007E3DB1">
      <w:r w:rsidRPr="003978CF">
        <w:t>Да не се съхранява над 25°C. Да се съхранява в оригиналната опаковка, за да се предпази от влага</w:t>
      </w:r>
      <w:r w:rsidR="00D67180" w:rsidRPr="003978CF">
        <w:t>.</w:t>
      </w:r>
    </w:p>
    <w:p w14:paraId="2416C902" w14:textId="77777777" w:rsidR="007E3DB1" w:rsidRPr="003978CF" w:rsidRDefault="007E3DB1" w:rsidP="007E3DB1"/>
    <w:p w14:paraId="192A1624" w14:textId="4E4EABFF" w:rsidR="001D29E6" w:rsidRPr="003978CF" w:rsidRDefault="007E3DB1" w:rsidP="007E3DB1">
      <w:pPr>
        <w:rPr>
          <w:b/>
        </w:rPr>
      </w:pPr>
      <w:r w:rsidRPr="003978CF">
        <w:rPr>
          <w:b/>
        </w:rPr>
        <w:t>6.5</w:t>
      </w:r>
      <w:r w:rsidRPr="003978CF">
        <w:tab/>
      </w:r>
      <w:r w:rsidR="004033E6" w:rsidRPr="003978CF">
        <w:rPr>
          <w:b/>
          <w:szCs w:val="22"/>
        </w:rPr>
        <w:t>Вид и съдържание на опаковката</w:t>
      </w:r>
    </w:p>
    <w:p w14:paraId="7EA01055" w14:textId="77777777" w:rsidR="001D29E6" w:rsidRPr="003978CF" w:rsidRDefault="001D29E6" w:rsidP="000C1913"/>
    <w:p w14:paraId="5D9F81FE" w14:textId="77777777" w:rsidR="00C5112C" w:rsidRPr="003978CF" w:rsidRDefault="0007138F" w:rsidP="000C1913">
      <w:pPr>
        <w:rPr>
          <w:rFonts w:eastAsia="TimesNewRomanPS-BoldMT"/>
        </w:rPr>
      </w:pPr>
      <w:r w:rsidRPr="003978CF">
        <w:t>Алуминиеви</w:t>
      </w:r>
      <w:r w:rsidR="002A0D0B" w:rsidRPr="003978CF">
        <w:t>/PVC/PVDC</w:t>
      </w:r>
      <w:r w:rsidR="002A0D0B" w:rsidRPr="003978CF">
        <w:rPr>
          <w:rFonts w:eastAsia="TimesNewRomanPS-BoldMT"/>
        </w:rPr>
        <w:t xml:space="preserve"> </w:t>
      </w:r>
      <w:r w:rsidRPr="003978CF">
        <w:rPr>
          <w:rFonts w:eastAsia="TimesNewRomanPS-BoldMT"/>
        </w:rPr>
        <w:t>блистери в картонени опаковки</w:t>
      </w:r>
      <w:r w:rsidR="00C5112C" w:rsidRPr="003978CF">
        <w:rPr>
          <w:rFonts w:eastAsia="TimesNewRomanPS-BoldMT"/>
        </w:rPr>
        <w:t>.</w:t>
      </w:r>
    </w:p>
    <w:p w14:paraId="600374DF" w14:textId="77777777" w:rsidR="00E41B91" w:rsidRDefault="0007138F" w:rsidP="000C1913">
      <w:pPr>
        <w:rPr>
          <w:rFonts w:eastAsia="TimesNewRomanPS-BoldMT"/>
        </w:rPr>
      </w:pPr>
      <w:r w:rsidRPr="003978CF">
        <w:rPr>
          <w:rFonts w:eastAsia="TimesNewRomanPS-BoldMT"/>
        </w:rPr>
        <w:t xml:space="preserve">Видове опаковки: </w:t>
      </w:r>
    </w:p>
    <w:p w14:paraId="4B4AC384" w14:textId="4C88F8F6" w:rsidR="0007138F" w:rsidRPr="007E4F05" w:rsidRDefault="00E41B91" w:rsidP="000C1913">
      <w:pPr>
        <w:rPr>
          <w:lang w:val="ru-RU"/>
        </w:rPr>
      </w:pPr>
      <w:r>
        <w:rPr>
          <w:rFonts w:eastAsia="TimesNewRomanPS-BoldMT"/>
        </w:rPr>
        <w:t xml:space="preserve">Акард </w:t>
      </w:r>
      <w:r>
        <w:t>75</w:t>
      </w:r>
      <w:r>
        <w:rPr>
          <w:lang w:val="en-US"/>
        </w:rPr>
        <w:t> </w:t>
      </w:r>
      <w:r w:rsidRPr="003978CF">
        <w:t>mg</w:t>
      </w:r>
      <w:r w:rsidRPr="007E4F05">
        <w:rPr>
          <w:lang w:val="ru-RU"/>
        </w:rPr>
        <w:t>:</w:t>
      </w:r>
      <w:r w:rsidRPr="003978CF">
        <w:rPr>
          <w:rFonts w:eastAsia="TimesNewRomanPS-BoldMT"/>
        </w:rPr>
        <w:t xml:space="preserve"> </w:t>
      </w:r>
      <w:r w:rsidR="0007138F" w:rsidRPr="003978CF">
        <w:rPr>
          <w:rFonts w:eastAsia="TimesNewRomanPS-BoldMT"/>
        </w:rPr>
        <w:t>30</w:t>
      </w:r>
      <w:r w:rsidRPr="007E4F05">
        <w:rPr>
          <w:rFonts w:eastAsia="TimesNewRomanPS-BoldMT"/>
          <w:lang w:val="ru-RU"/>
        </w:rPr>
        <w:t>,</w:t>
      </w:r>
      <w:r w:rsidR="0007138F" w:rsidRPr="003978CF">
        <w:rPr>
          <w:rFonts w:eastAsia="TimesNewRomanPS-BoldMT"/>
        </w:rPr>
        <w:t xml:space="preserve"> 60 </w:t>
      </w:r>
      <w:r w:rsidR="003F1DFB" w:rsidRPr="003978CF">
        <w:rPr>
          <w:rFonts w:eastAsia="TimesNewRomanPS-BoldMT"/>
        </w:rPr>
        <w:t>или</w:t>
      </w:r>
      <w:r w:rsidR="003F1DFB" w:rsidRPr="0028358A">
        <w:rPr>
          <w:rFonts w:eastAsia="TimesNewRomanPS-BoldMT"/>
          <w:lang w:val="ru-RU"/>
        </w:rPr>
        <w:t xml:space="preserve"> 120</w:t>
      </w:r>
      <w:r w:rsidR="003F1DFB" w:rsidRPr="0028358A">
        <w:rPr>
          <w:lang w:val="ru-RU"/>
        </w:rPr>
        <w:t xml:space="preserve"> </w:t>
      </w:r>
      <w:r w:rsidR="0007138F" w:rsidRPr="003978CF">
        <w:rPr>
          <w:rFonts w:eastAsia="TimesNewRomanPS-BoldMT"/>
        </w:rPr>
        <w:t>таблетки</w:t>
      </w:r>
      <w:r w:rsidRPr="007E4F05">
        <w:rPr>
          <w:rFonts w:eastAsia="TimesNewRomanPS-BoldMT"/>
          <w:lang w:val="ru-RU"/>
        </w:rPr>
        <w:t>;</w:t>
      </w:r>
    </w:p>
    <w:p w14:paraId="7CE45BA6" w14:textId="26A70D1D" w:rsidR="00E41B91" w:rsidRPr="007E4F05" w:rsidRDefault="00E41B91" w:rsidP="000C1913">
      <w:pPr>
        <w:rPr>
          <w:szCs w:val="22"/>
          <w:lang w:val="ru-RU"/>
        </w:rPr>
      </w:pPr>
      <w:r>
        <w:rPr>
          <w:rFonts w:eastAsia="TimesNewRomanPS-BoldMT"/>
        </w:rPr>
        <w:t xml:space="preserve">Акард </w:t>
      </w:r>
      <w:r w:rsidRPr="007E4F05">
        <w:rPr>
          <w:lang w:val="ru-RU"/>
        </w:rPr>
        <w:t>1</w:t>
      </w:r>
      <w:r>
        <w:t>5</w:t>
      </w:r>
      <w:r w:rsidRPr="007E4F05">
        <w:rPr>
          <w:lang w:val="ru-RU"/>
        </w:rPr>
        <w:t>0</w:t>
      </w:r>
      <w:r>
        <w:rPr>
          <w:lang w:val="en-US"/>
        </w:rPr>
        <w:t> </w:t>
      </w:r>
      <w:r w:rsidRPr="003978CF">
        <w:t>mg</w:t>
      </w:r>
      <w:r w:rsidRPr="002F5B9C">
        <w:rPr>
          <w:lang w:val="ru-RU"/>
        </w:rPr>
        <w:t>:</w:t>
      </w:r>
      <w:r w:rsidRPr="007E4F05">
        <w:rPr>
          <w:lang w:val="ru-RU"/>
        </w:rPr>
        <w:t xml:space="preserve"> </w:t>
      </w:r>
      <w:r w:rsidRPr="003978CF">
        <w:rPr>
          <w:rFonts w:eastAsia="TimesNewRomanPS-BoldMT"/>
        </w:rPr>
        <w:t>30 или 60</w:t>
      </w:r>
      <w:r w:rsidRPr="0028358A">
        <w:rPr>
          <w:lang w:val="ru-RU"/>
        </w:rPr>
        <w:t xml:space="preserve"> </w:t>
      </w:r>
      <w:r w:rsidRPr="003978CF">
        <w:rPr>
          <w:rFonts w:eastAsia="TimesNewRomanPS-BoldMT"/>
        </w:rPr>
        <w:t>таблетки</w:t>
      </w:r>
      <w:r w:rsidRPr="007E4F05">
        <w:rPr>
          <w:rFonts w:eastAsia="TimesNewRomanPS-BoldMT"/>
          <w:lang w:val="ru-RU"/>
        </w:rPr>
        <w:t>.</w:t>
      </w:r>
    </w:p>
    <w:p w14:paraId="5B8BF5F2" w14:textId="77777777" w:rsidR="00E41B91" w:rsidRDefault="00E41B91" w:rsidP="000C1913">
      <w:pPr>
        <w:rPr>
          <w:szCs w:val="22"/>
        </w:rPr>
      </w:pPr>
    </w:p>
    <w:p w14:paraId="0E3B7B6B" w14:textId="71AED771" w:rsidR="001D29E6" w:rsidRPr="003978CF" w:rsidRDefault="004033E6" w:rsidP="000C1913">
      <w:r w:rsidRPr="003978CF">
        <w:rPr>
          <w:szCs w:val="22"/>
        </w:rPr>
        <w:t>Не всички видове опаковки могат да бъдат пуснати в продажба</w:t>
      </w:r>
      <w:r w:rsidR="007B5ED0" w:rsidRPr="003978CF">
        <w:t>.</w:t>
      </w:r>
    </w:p>
    <w:p w14:paraId="1AFA70E5" w14:textId="77777777" w:rsidR="001D29E6" w:rsidRPr="003978CF" w:rsidRDefault="001D29E6" w:rsidP="000C1913"/>
    <w:p w14:paraId="14C9BD70" w14:textId="77777777" w:rsidR="001D29E6" w:rsidRPr="003978CF" w:rsidRDefault="001D29E6" w:rsidP="000C1913">
      <w:pPr>
        <w:ind w:left="567" w:hanging="567"/>
        <w:outlineLvl w:val="0"/>
      </w:pPr>
      <w:r w:rsidRPr="003978CF">
        <w:rPr>
          <w:b/>
        </w:rPr>
        <w:t>6.6</w:t>
      </w:r>
      <w:r w:rsidRPr="003978CF">
        <w:rPr>
          <w:b/>
        </w:rPr>
        <w:tab/>
      </w:r>
      <w:r w:rsidR="004033E6" w:rsidRPr="003978CF">
        <w:rPr>
          <w:b/>
          <w:szCs w:val="22"/>
        </w:rPr>
        <w:t>Специални предпазни мерки при изхвърляне</w:t>
      </w:r>
      <w:r w:rsidR="00420843" w:rsidRPr="003978CF">
        <w:rPr>
          <w:b/>
          <w:szCs w:val="22"/>
        </w:rPr>
        <w:t xml:space="preserve"> </w:t>
      </w:r>
      <w:r w:rsidR="004033E6" w:rsidRPr="003978CF">
        <w:rPr>
          <w:b/>
          <w:szCs w:val="22"/>
        </w:rPr>
        <w:t>и работа</w:t>
      </w:r>
    </w:p>
    <w:p w14:paraId="1A7526AA" w14:textId="77777777" w:rsidR="001D29E6" w:rsidRPr="003978CF" w:rsidRDefault="001D29E6" w:rsidP="000C1913"/>
    <w:p w14:paraId="1B590B58" w14:textId="77777777" w:rsidR="001D29E6" w:rsidRPr="003978CF" w:rsidRDefault="004033E6" w:rsidP="000C1913">
      <w:r w:rsidRPr="003978CF">
        <w:rPr>
          <w:szCs w:val="22"/>
        </w:rPr>
        <w:t>Няма специални изисквания</w:t>
      </w:r>
      <w:r w:rsidR="007B5ED0" w:rsidRPr="003978CF">
        <w:t>.</w:t>
      </w:r>
    </w:p>
    <w:p w14:paraId="421502AA" w14:textId="77777777" w:rsidR="001D29E6" w:rsidRPr="003978CF" w:rsidRDefault="001D29E6" w:rsidP="000C1913"/>
    <w:p w14:paraId="3B14097A" w14:textId="77777777" w:rsidR="007B5ED0" w:rsidRPr="003978CF" w:rsidRDefault="007B5ED0" w:rsidP="000C1913"/>
    <w:p w14:paraId="0ABC5F5F" w14:textId="77777777" w:rsidR="001D29E6" w:rsidRPr="003978CF" w:rsidRDefault="001D29E6" w:rsidP="007E1076">
      <w:pPr>
        <w:ind w:left="567" w:hanging="567"/>
      </w:pPr>
      <w:r w:rsidRPr="003978CF">
        <w:rPr>
          <w:b/>
        </w:rPr>
        <w:t>7.</w:t>
      </w:r>
      <w:r w:rsidRPr="003978CF">
        <w:rPr>
          <w:b/>
        </w:rPr>
        <w:tab/>
      </w:r>
      <w:r w:rsidR="004033E6" w:rsidRPr="003978CF">
        <w:rPr>
          <w:b/>
          <w:szCs w:val="22"/>
        </w:rPr>
        <w:t>ПРИТЕЖАТЕЛ НА РАЗРЕШЕНИЕТО ЗА УПОТРЕБА</w:t>
      </w:r>
    </w:p>
    <w:p w14:paraId="77A36F03" w14:textId="77777777" w:rsidR="001D29E6" w:rsidRDefault="001D29E6" w:rsidP="007E1076"/>
    <w:p w14:paraId="53E6CC6F" w14:textId="77777777" w:rsidR="004029B0" w:rsidRDefault="004029B0" w:rsidP="007E1076">
      <w:r>
        <w:t>Pharmaceutical Works POLPHARMA SA</w:t>
      </w:r>
    </w:p>
    <w:p w14:paraId="583DB263" w14:textId="77777777" w:rsidR="004029B0" w:rsidRDefault="004029B0" w:rsidP="004029B0">
      <w:r>
        <w:t>19, Pelplińska Street</w:t>
      </w:r>
    </w:p>
    <w:p w14:paraId="51F167AA" w14:textId="77777777" w:rsidR="004029B0" w:rsidRPr="007E1076" w:rsidRDefault="004029B0" w:rsidP="004029B0">
      <w:pPr>
        <w:rPr>
          <w:lang w:val="ru-RU"/>
        </w:rPr>
      </w:pPr>
      <w:r>
        <w:t xml:space="preserve">83-200 Starogard Gdański, </w:t>
      </w:r>
      <w:proofErr w:type="spellStart"/>
      <w:r w:rsidRPr="007E1076">
        <w:rPr>
          <w:lang w:val="ru-RU"/>
        </w:rPr>
        <w:t>Полша</w:t>
      </w:r>
      <w:proofErr w:type="spellEnd"/>
    </w:p>
    <w:p w14:paraId="3522CD95" w14:textId="77777777" w:rsidR="004029B0" w:rsidRPr="003978CF" w:rsidRDefault="004029B0" w:rsidP="000C1913"/>
    <w:p w14:paraId="1335AB64" w14:textId="77777777" w:rsidR="006E67A7" w:rsidRPr="003978CF" w:rsidRDefault="006E67A7" w:rsidP="000C1913"/>
    <w:p w14:paraId="0CFCE224" w14:textId="2E96DEB2" w:rsidR="001D29E6" w:rsidRPr="003978CF" w:rsidRDefault="001D29E6" w:rsidP="000C1913">
      <w:pPr>
        <w:ind w:left="567" w:hanging="567"/>
        <w:rPr>
          <w:b/>
        </w:rPr>
      </w:pPr>
      <w:r w:rsidRPr="003978CF">
        <w:rPr>
          <w:b/>
        </w:rPr>
        <w:t>8.</w:t>
      </w:r>
      <w:r w:rsidRPr="003978CF">
        <w:rPr>
          <w:b/>
        </w:rPr>
        <w:tab/>
      </w:r>
      <w:r w:rsidR="004033E6" w:rsidRPr="003978CF">
        <w:rPr>
          <w:b/>
          <w:szCs w:val="22"/>
        </w:rPr>
        <w:t>НОМЕР(А) НА РАЗРЕШЕНИЕТО ЗА УПОТРЕБА</w:t>
      </w:r>
    </w:p>
    <w:p w14:paraId="5C7C2524" w14:textId="77777777" w:rsidR="001D29E6" w:rsidRPr="003978CF" w:rsidRDefault="001D29E6" w:rsidP="000C1913">
      <w:pPr>
        <w:rPr>
          <w:i/>
        </w:rPr>
      </w:pPr>
    </w:p>
    <w:p w14:paraId="21A9BA69" w14:textId="77777777" w:rsidR="001D29E6" w:rsidRPr="0064203D" w:rsidRDefault="0064203D" w:rsidP="000C1913">
      <w:pPr>
        <w:rPr>
          <w:rFonts w:eastAsia="TimesNewRomanPS-BoldMT"/>
        </w:rPr>
      </w:pPr>
      <w:r>
        <w:rPr>
          <w:rFonts w:eastAsia="TimesNewRomanPS-BoldMT"/>
        </w:rPr>
        <w:t xml:space="preserve">АКАРД </w:t>
      </w:r>
      <w:r w:rsidRPr="003978CF">
        <w:rPr>
          <w:rFonts w:eastAsia="TimesNewRomanPS-BoldMT"/>
        </w:rPr>
        <w:t>75 mg</w:t>
      </w:r>
      <w:r w:rsidRPr="0064203D">
        <w:rPr>
          <w:rFonts w:eastAsia="TimesNewRomanPS-BoldMT"/>
        </w:rPr>
        <w:t>: 20170037</w:t>
      </w:r>
    </w:p>
    <w:p w14:paraId="076109F1" w14:textId="77777777" w:rsidR="0064203D" w:rsidRDefault="0064203D" w:rsidP="000C1913">
      <w:pPr>
        <w:rPr>
          <w:rFonts w:eastAsia="TimesNewRomanPS-BoldMT"/>
        </w:rPr>
      </w:pPr>
      <w:r>
        <w:rPr>
          <w:rFonts w:eastAsia="TimesNewRomanPS-BoldMT"/>
        </w:rPr>
        <w:t xml:space="preserve">АКАРД </w:t>
      </w:r>
      <w:r w:rsidRPr="0064203D">
        <w:rPr>
          <w:rFonts w:eastAsia="TimesNewRomanPS-BoldMT"/>
        </w:rPr>
        <w:t>1</w:t>
      </w:r>
      <w:r w:rsidRPr="003978CF">
        <w:rPr>
          <w:rFonts w:eastAsia="TimesNewRomanPS-BoldMT"/>
        </w:rPr>
        <w:t>5</w:t>
      </w:r>
      <w:r w:rsidRPr="0064203D">
        <w:rPr>
          <w:rFonts w:eastAsia="TimesNewRomanPS-BoldMT"/>
        </w:rPr>
        <w:t>0</w:t>
      </w:r>
      <w:r w:rsidRPr="003978CF">
        <w:rPr>
          <w:rFonts w:eastAsia="TimesNewRomanPS-BoldMT"/>
        </w:rPr>
        <w:t xml:space="preserve"> mg</w:t>
      </w:r>
      <w:r w:rsidRPr="0064203D">
        <w:rPr>
          <w:rFonts w:eastAsia="TimesNewRomanPS-BoldMT"/>
        </w:rPr>
        <w:t xml:space="preserve">: </w:t>
      </w:r>
      <w:r>
        <w:rPr>
          <w:rFonts w:eastAsia="TimesNewRomanPS-BoldMT"/>
        </w:rPr>
        <w:t>20170038</w:t>
      </w:r>
    </w:p>
    <w:p w14:paraId="30C71414" w14:textId="77777777" w:rsidR="0064203D" w:rsidRPr="0064203D" w:rsidRDefault="0064203D" w:rsidP="000C1913"/>
    <w:p w14:paraId="605A1F93" w14:textId="77777777" w:rsidR="001D29E6" w:rsidRPr="003978CF" w:rsidRDefault="001D29E6" w:rsidP="000C1913"/>
    <w:p w14:paraId="7C7A4236" w14:textId="77777777" w:rsidR="001D29E6" w:rsidRPr="003978CF" w:rsidRDefault="001D29E6" w:rsidP="000C1913">
      <w:pPr>
        <w:ind w:left="567" w:hanging="567"/>
      </w:pPr>
      <w:r w:rsidRPr="003978CF">
        <w:rPr>
          <w:b/>
        </w:rPr>
        <w:t>9.</w:t>
      </w:r>
      <w:r w:rsidRPr="003978CF">
        <w:rPr>
          <w:b/>
        </w:rPr>
        <w:tab/>
      </w:r>
      <w:r w:rsidR="004033E6" w:rsidRPr="003978CF">
        <w:rPr>
          <w:b/>
          <w:szCs w:val="22"/>
        </w:rPr>
        <w:t>ДАТА НА ПЪРВО РАЗРЕШАВАНЕ/ПОДНОВЯВАНЕ НА РАЗРЕШЕНИЕТО ЗА УПОТРЕБА</w:t>
      </w:r>
    </w:p>
    <w:p w14:paraId="794AFC76" w14:textId="77777777" w:rsidR="001D29E6" w:rsidRPr="003978CF" w:rsidRDefault="001D29E6" w:rsidP="000C1913">
      <w:pPr>
        <w:rPr>
          <w:i/>
        </w:rPr>
      </w:pPr>
    </w:p>
    <w:p w14:paraId="4CC43BF8" w14:textId="77777777" w:rsidR="001D29E6" w:rsidRPr="007E1076" w:rsidRDefault="00A7264A" w:rsidP="000C1913">
      <w:pPr>
        <w:rPr>
          <w:noProof/>
          <w:szCs w:val="24"/>
          <w:lang w:val="ru-RU"/>
        </w:rPr>
      </w:pPr>
      <w:r w:rsidRPr="008F229F">
        <w:rPr>
          <w:noProof/>
          <w:szCs w:val="24"/>
        </w:rPr>
        <w:t>Дата на първо разрешаване:</w:t>
      </w:r>
      <w:r w:rsidR="0064203D" w:rsidRPr="007E1076">
        <w:rPr>
          <w:noProof/>
          <w:szCs w:val="24"/>
          <w:lang w:val="ru-RU"/>
        </w:rPr>
        <w:t xml:space="preserve"> 26.01.2017</w:t>
      </w:r>
    </w:p>
    <w:p w14:paraId="1F3D71BC" w14:textId="77777777" w:rsidR="00A7264A" w:rsidRPr="003978CF" w:rsidRDefault="00A7264A" w:rsidP="000C1913"/>
    <w:p w14:paraId="13410E91" w14:textId="77777777" w:rsidR="001D29E6" w:rsidRPr="003978CF" w:rsidRDefault="001D29E6" w:rsidP="000C1913"/>
    <w:p w14:paraId="41D89F47" w14:textId="77777777" w:rsidR="001D29E6" w:rsidRPr="003978CF" w:rsidRDefault="001D29E6" w:rsidP="000C1913">
      <w:pPr>
        <w:ind w:left="567" w:hanging="567"/>
        <w:rPr>
          <w:b/>
        </w:rPr>
      </w:pPr>
      <w:r w:rsidRPr="003978CF">
        <w:rPr>
          <w:b/>
        </w:rPr>
        <w:t>10.</w:t>
      </w:r>
      <w:r w:rsidRPr="003978CF">
        <w:rPr>
          <w:b/>
        </w:rPr>
        <w:tab/>
      </w:r>
      <w:r w:rsidR="004033E6" w:rsidRPr="003978CF">
        <w:rPr>
          <w:b/>
          <w:szCs w:val="22"/>
        </w:rPr>
        <w:t>ДАТА НА АКТУАЛИЗИРАНЕ НА ТЕКСТА</w:t>
      </w:r>
    </w:p>
    <w:p w14:paraId="2E0FD6EB" w14:textId="42021B07" w:rsidR="0064203D" w:rsidRDefault="0064203D" w:rsidP="004033E6">
      <w:pPr>
        <w:tabs>
          <w:tab w:val="clear" w:pos="567"/>
          <w:tab w:val="left" w:pos="1358"/>
        </w:tabs>
        <w:rPr>
          <w:lang w:val="ru-RU"/>
        </w:rPr>
      </w:pPr>
    </w:p>
    <w:p w14:paraId="65D3B35B" w14:textId="6CEA0FA7" w:rsidR="006043C2" w:rsidRPr="0028358A" w:rsidRDefault="006043C2" w:rsidP="004033E6">
      <w:pPr>
        <w:tabs>
          <w:tab w:val="clear" w:pos="567"/>
          <w:tab w:val="left" w:pos="1358"/>
        </w:tabs>
        <w:rPr>
          <w:lang w:val="ru-RU"/>
        </w:rPr>
      </w:pPr>
    </w:p>
    <w:sectPr w:rsidR="006043C2" w:rsidRPr="0028358A" w:rsidSect="00A7264A">
      <w:footerReference w:type="default" r:id="rId7"/>
      <w:footerReference w:type="first" r:id="rId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4D908" w14:textId="77777777" w:rsidR="00266FE3" w:rsidRDefault="00266FE3">
      <w:r>
        <w:separator/>
      </w:r>
    </w:p>
  </w:endnote>
  <w:endnote w:type="continuationSeparator" w:id="0">
    <w:p w14:paraId="3ED523B6" w14:textId="77777777" w:rsidR="00266FE3" w:rsidRDefault="0026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0B635" w14:textId="77777777" w:rsidR="00740EF2" w:rsidRPr="008C161C" w:rsidRDefault="00740EF2" w:rsidP="008C161C">
    <w:pPr>
      <w:pStyle w:val="Stopka"/>
      <w:jc w:val="right"/>
      <w:rPr>
        <w:rFonts w:ascii="Times New Roman" w:hAnsi="Times New Roman"/>
        <w:sz w:val="22"/>
        <w:szCs w:val="22"/>
      </w:rPr>
    </w:pPr>
    <w:r w:rsidRPr="008C161C">
      <w:rPr>
        <w:rFonts w:ascii="Times New Roman" w:hAnsi="Times New Roman"/>
        <w:sz w:val="22"/>
        <w:szCs w:val="22"/>
      </w:rPr>
      <w:fldChar w:fldCharType="begin"/>
    </w:r>
    <w:r w:rsidRPr="008C161C">
      <w:rPr>
        <w:rFonts w:ascii="Times New Roman" w:hAnsi="Times New Roman"/>
        <w:sz w:val="22"/>
        <w:szCs w:val="22"/>
      </w:rPr>
      <w:instrText>PAGE   \* MERGEFORMAT</w:instrText>
    </w:r>
    <w:r w:rsidRPr="008C161C">
      <w:rPr>
        <w:rFonts w:ascii="Times New Roman" w:hAnsi="Times New Roman"/>
        <w:sz w:val="22"/>
        <w:szCs w:val="22"/>
      </w:rPr>
      <w:fldChar w:fldCharType="separate"/>
    </w:r>
    <w:r w:rsidR="0064203D" w:rsidRPr="0064203D">
      <w:rPr>
        <w:rFonts w:ascii="Times New Roman" w:hAnsi="Times New Roman"/>
        <w:noProof/>
        <w:sz w:val="22"/>
        <w:szCs w:val="22"/>
        <w:lang w:val="pl-PL"/>
      </w:rPr>
      <w:t>11</w:t>
    </w:r>
    <w:r w:rsidRPr="008C161C">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8DE5" w14:textId="77777777" w:rsidR="00740EF2" w:rsidRPr="00C32E02" w:rsidRDefault="00740EF2" w:rsidP="00C32E02">
    <w:pPr>
      <w:pStyle w:val="Stopka"/>
      <w:jc w:val="right"/>
      <w:rPr>
        <w:rFonts w:ascii="Times New Roman" w:hAnsi="Times New Roman"/>
        <w:sz w:val="22"/>
        <w:szCs w:val="22"/>
      </w:rPr>
    </w:pPr>
    <w:r w:rsidRPr="00C32E02">
      <w:rPr>
        <w:rFonts w:ascii="Times New Roman" w:hAnsi="Times New Roman"/>
        <w:sz w:val="22"/>
        <w:szCs w:val="22"/>
      </w:rPr>
      <w:fldChar w:fldCharType="begin"/>
    </w:r>
    <w:r w:rsidRPr="00C32E02">
      <w:rPr>
        <w:rFonts w:ascii="Times New Roman" w:hAnsi="Times New Roman"/>
        <w:sz w:val="22"/>
        <w:szCs w:val="22"/>
      </w:rPr>
      <w:instrText>PAGE   \* MERGEFORMAT</w:instrText>
    </w:r>
    <w:r w:rsidRPr="00C32E02">
      <w:rPr>
        <w:rFonts w:ascii="Times New Roman" w:hAnsi="Times New Roman"/>
        <w:sz w:val="22"/>
        <w:szCs w:val="22"/>
      </w:rPr>
      <w:fldChar w:fldCharType="separate"/>
    </w:r>
    <w:r w:rsidRPr="008C161C">
      <w:rPr>
        <w:rFonts w:ascii="Times New Roman" w:hAnsi="Times New Roman"/>
        <w:noProof/>
        <w:sz w:val="22"/>
        <w:szCs w:val="22"/>
        <w:lang w:val="pl-PL"/>
      </w:rPr>
      <w:t>1</w:t>
    </w:r>
    <w:r w:rsidRPr="00C32E02">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496CB" w14:textId="77777777" w:rsidR="00266FE3" w:rsidRDefault="00266FE3">
      <w:r>
        <w:separator/>
      </w:r>
    </w:p>
  </w:footnote>
  <w:footnote w:type="continuationSeparator" w:id="0">
    <w:p w14:paraId="225BBA72" w14:textId="77777777" w:rsidR="00266FE3" w:rsidRDefault="00266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6" w15:restartNumberingAfterBreak="0">
    <w:nsid w:val="177516CA"/>
    <w:multiLevelType w:val="hybridMultilevel"/>
    <w:tmpl w:val="033EE0DC"/>
    <w:lvl w:ilvl="0" w:tplc="A8F2F04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99F6C85"/>
    <w:multiLevelType w:val="hybridMultilevel"/>
    <w:tmpl w:val="5F666348"/>
    <w:lvl w:ilvl="0" w:tplc="A8F2F046">
      <w:start w:val="1"/>
      <w:numFmt w:val="bullet"/>
      <w:lvlText w:val="-"/>
      <w:lvlJc w:val="left"/>
      <w:pPr>
        <w:ind w:left="644" w:hanging="360"/>
      </w:pPr>
      <w:rPr>
        <w:rFonts w:ascii="Times New Roman" w:hAnsi="Times New Roman" w:cs="Times New Roman" w:hint="default"/>
      </w:rPr>
    </w:lvl>
    <w:lvl w:ilvl="1" w:tplc="A8F2F046">
      <w:start w:val="1"/>
      <w:numFmt w:val="bullet"/>
      <w:lvlText w:val="-"/>
      <w:lvlJc w:val="left"/>
      <w:pPr>
        <w:ind w:left="1364" w:hanging="360"/>
      </w:pPr>
      <w:rPr>
        <w:rFonts w:ascii="Times New Roman" w:hAnsi="Times New Roman" w:cs="Times New Roman"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3B0A2100"/>
    <w:multiLevelType w:val="hybridMultilevel"/>
    <w:tmpl w:val="079ADA56"/>
    <w:lvl w:ilvl="0" w:tplc="A8F2F04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1D51B4"/>
    <w:multiLevelType w:val="hybridMultilevel"/>
    <w:tmpl w:val="198C95DC"/>
    <w:lvl w:ilvl="0" w:tplc="A8F2F04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1"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6"/>
  </w:num>
  <w:num w:numId="4">
    <w:abstractNumId w:val="35"/>
  </w:num>
  <w:num w:numId="5">
    <w:abstractNumId w:val="12"/>
  </w:num>
  <w:num w:numId="6">
    <w:abstractNumId w:val="23"/>
  </w:num>
  <w:num w:numId="7">
    <w:abstractNumId w:val="22"/>
  </w:num>
  <w:num w:numId="8">
    <w:abstractNumId w:val="7"/>
  </w:num>
  <w:num w:numId="9">
    <w:abstractNumId w:val="33"/>
  </w:num>
  <w:num w:numId="10">
    <w:abstractNumId w:val="34"/>
  </w:num>
  <w:num w:numId="11">
    <w:abstractNumId w:val="17"/>
  </w:num>
  <w:num w:numId="12">
    <w:abstractNumId w:val="14"/>
  </w:num>
  <w:num w:numId="13">
    <w:abstractNumId w:val="2"/>
  </w:num>
  <w:num w:numId="14">
    <w:abstractNumId w:val="32"/>
  </w:num>
  <w:num w:numId="15">
    <w:abstractNumId w:val="20"/>
  </w:num>
  <w:num w:numId="16">
    <w:abstractNumId w:val="37"/>
  </w:num>
  <w:num w:numId="17">
    <w:abstractNumId w:val="8"/>
  </w:num>
  <w:num w:numId="18">
    <w:abstractNumId w:val="1"/>
  </w:num>
  <w:num w:numId="19">
    <w:abstractNumId w:val="18"/>
  </w:num>
  <w:num w:numId="20">
    <w:abstractNumId w:val="3"/>
  </w:num>
  <w:num w:numId="21">
    <w:abstractNumId w:val="5"/>
  </w:num>
  <w:num w:numId="22">
    <w:abstractNumId w:val="26"/>
  </w:num>
  <w:num w:numId="23">
    <w:abstractNumId w:val="31"/>
  </w:num>
  <w:num w:numId="24">
    <w:abstractNumId w:val="25"/>
  </w:num>
  <w:num w:numId="25">
    <w:abstractNumId w:val="13"/>
  </w:num>
  <w:num w:numId="26">
    <w:abstractNumId w:val="10"/>
  </w:num>
  <w:num w:numId="27">
    <w:abstractNumId w:val="21"/>
  </w:num>
  <w:num w:numId="28">
    <w:abstractNumId w:val="24"/>
  </w:num>
  <w:num w:numId="29">
    <w:abstractNumId w:val="15"/>
  </w:num>
  <w:num w:numId="30">
    <w:abstractNumId w:val="9"/>
  </w:num>
  <w:num w:numId="31">
    <w:abstractNumId w:val="29"/>
  </w:num>
  <w:num w:numId="32">
    <w:abstractNumId w:val="30"/>
  </w:num>
  <w:num w:numId="33">
    <w:abstractNumId w:val="28"/>
  </w:num>
  <w:num w:numId="34">
    <w:abstractNumId w:val="16"/>
  </w:num>
  <w:num w:numId="35">
    <w:abstractNumId w:val="4"/>
  </w:num>
  <w:num w:numId="36">
    <w:abstractNumId w:val="38"/>
  </w:num>
  <w:num w:numId="37">
    <w:abstractNumId w:val="0"/>
    <w:lvlOverride w:ilvl="0">
      <w:lvl w:ilvl="0">
        <w:start w:val="1"/>
        <w:numFmt w:val="bullet"/>
        <w:lvlText w:val="-"/>
        <w:legacy w:legacy="1" w:legacySpace="0" w:legacyIndent="360"/>
        <w:lvlJc w:val="left"/>
        <w:pPr>
          <w:ind w:left="360" w:hanging="360"/>
        </w:pPr>
      </w:lvl>
    </w:lvlOverride>
  </w:num>
  <w:num w:numId="38">
    <w:abstractNumId w:val="27"/>
  </w:num>
  <w:num w:numId="39">
    <w:abstractNumId w:val="19"/>
  </w:num>
  <w:num w:numId="40">
    <w:abstractNumId w:val="11"/>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ru-RU" w:vendorID="1" w:dllVersion="512" w:checkStyle="1"/>
  <w:activeWritingStyle w:appName="MSWord" w:lang="da-DK" w:vendorID="666"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53ACC"/>
    <w:rsid w:val="000026AF"/>
    <w:rsid w:val="00002AF7"/>
    <w:rsid w:val="000064E6"/>
    <w:rsid w:val="00006DE1"/>
    <w:rsid w:val="000070E5"/>
    <w:rsid w:val="0001186D"/>
    <w:rsid w:val="000131C2"/>
    <w:rsid w:val="000134A1"/>
    <w:rsid w:val="00015837"/>
    <w:rsid w:val="00016D4D"/>
    <w:rsid w:val="00023D25"/>
    <w:rsid w:val="00030314"/>
    <w:rsid w:val="00030CCA"/>
    <w:rsid w:val="00035D5C"/>
    <w:rsid w:val="00036A3B"/>
    <w:rsid w:val="000425D4"/>
    <w:rsid w:val="00043B8F"/>
    <w:rsid w:val="0004601F"/>
    <w:rsid w:val="000512BB"/>
    <w:rsid w:val="000567B4"/>
    <w:rsid w:val="00056C2F"/>
    <w:rsid w:val="0006079C"/>
    <w:rsid w:val="00061E2F"/>
    <w:rsid w:val="00063DF2"/>
    <w:rsid w:val="00066217"/>
    <w:rsid w:val="000666BF"/>
    <w:rsid w:val="00067D17"/>
    <w:rsid w:val="0007138F"/>
    <w:rsid w:val="00073DE2"/>
    <w:rsid w:val="00076CA1"/>
    <w:rsid w:val="000778B7"/>
    <w:rsid w:val="00077D3C"/>
    <w:rsid w:val="00077E11"/>
    <w:rsid w:val="000802D8"/>
    <w:rsid w:val="00083518"/>
    <w:rsid w:val="00096B6F"/>
    <w:rsid w:val="00097B37"/>
    <w:rsid w:val="000A082D"/>
    <w:rsid w:val="000B1614"/>
    <w:rsid w:val="000B21EB"/>
    <w:rsid w:val="000B2655"/>
    <w:rsid w:val="000B33D3"/>
    <w:rsid w:val="000B6967"/>
    <w:rsid w:val="000C1327"/>
    <w:rsid w:val="000C18C8"/>
    <w:rsid w:val="000C1913"/>
    <w:rsid w:val="000C2A54"/>
    <w:rsid w:val="000D2C71"/>
    <w:rsid w:val="000D2CAE"/>
    <w:rsid w:val="000D5EF7"/>
    <w:rsid w:val="000D7AA6"/>
    <w:rsid w:val="000E25D2"/>
    <w:rsid w:val="000E4F39"/>
    <w:rsid w:val="000F21A8"/>
    <w:rsid w:val="000F3593"/>
    <w:rsid w:val="000F37B8"/>
    <w:rsid w:val="00101DEA"/>
    <w:rsid w:val="00102968"/>
    <w:rsid w:val="001030D0"/>
    <w:rsid w:val="00103A2A"/>
    <w:rsid w:val="00106CEA"/>
    <w:rsid w:val="00111697"/>
    <w:rsid w:val="001117BA"/>
    <w:rsid w:val="001161F2"/>
    <w:rsid w:val="00116C8F"/>
    <w:rsid w:val="00117A43"/>
    <w:rsid w:val="00121E5C"/>
    <w:rsid w:val="00122A98"/>
    <w:rsid w:val="00124003"/>
    <w:rsid w:val="00126640"/>
    <w:rsid w:val="00127C3C"/>
    <w:rsid w:val="0013388B"/>
    <w:rsid w:val="001346D4"/>
    <w:rsid w:val="0013531B"/>
    <w:rsid w:val="001367AE"/>
    <w:rsid w:val="00141EA6"/>
    <w:rsid w:val="001431D6"/>
    <w:rsid w:val="001434CE"/>
    <w:rsid w:val="00150F17"/>
    <w:rsid w:val="00152CC5"/>
    <w:rsid w:val="00152D5D"/>
    <w:rsid w:val="00152E50"/>
    <w:rsid w:val="001537C4"/>
    <w:rsid w:val="001600D2"/>
    <w:rsid w:val="001600F3"/>
    <w:rsid w:val="00165452"/>
    <w:rsid w:val="00167629"/>
    <w:rsid w:val="0017042E"/>
    <w:rsid w:val="00171115"/>
    <w:rsid w:val="001749F5"/>
    <w:rsid w:val="00180ADD"/>
    <w:rsid w:val="00181598"/>
    <w:rsid w:val="0018196F"/>
    <w:rsid w:val="0018380A"/>
    <w:rsid w:val="00185256"/>
    <w:rsid w:val="0018709D"/>
    <w:rsid w:val="001872ED"/>
    <w:rsid w:val="00197D0B"/>
    <w:rsid w:val="001A023A"/>
    <w:rsid w:val="001A0F3D"/>
    <w:rsid w:val="001A1B1F"/>
    <w:rsid w:val="001A24A0"/>
    <w:rsid w:val="001A276F"/>
    <w:rsid w:val="001B5C22"/>
    <w:rsid w:val="001B5EBF"/>
    <w:rsid w:val="001D0AF4"/>
    <w:rsid w:val="001D1300"/>
    <w:rsid w:val="001D29E6"/>
    <w:rsid w:val="001D71A8"/>
    <w:rsid w:val="001D7614"/>
    <w:rsid w:val="001E07D2"/>
    <w:rsid w:val="001E25C5"/>
    <w:rsid w:val="001E3123"/>
    <w:rsid w:val="001F1355"/>
    <w:rsid w:val="001F2C2A"/>
    <w:rsid w:val="001F2EB8"/>
    <w:rsid w:val="001F3539"/>
    <w:rsid w:val="001F71C5"/>
    <w:rsid w:val="00201DB8"/>
    <w:rsid w:val="00204F29"/>
    <w:rsid w:val="002061DC"/>
    <w:rsid w:val="002116E9"/>
    <w:rsid w:val="00211E2C"/>
    <w:rsid w:val="00211F4D"/>
    <w:rsid w:val="00212D40"/>
    <w:rsid w:val="00213DC2"/>
    <w:rsid w:val="00222405"/>
    <w:rsid w:val="00222DAE"/>
    <w:rsid w:val="00222F0C"/>
    <w:rsid w:val="00223FF3"/>
    <w:rsid w:val="00225B5B"/>
    <w:rsid w:val="0022660A"/>
    <w:rsid w:val="00226EBE"/>
    <w:rsid w:val="00226FC7"/>
    <w:rsid w:val="00227F14"/>
    <w:rsid w:val="0023073F"/>
    <w:rsid w:val="00230A28"/>
    <w:rsid w:val="00232029"/>
    <w:rsid w:val="00236968"/>
    <w:rsid w:val="00237500"/>
    <w:rsid w:val="00237E09"/>
    <w:rsid w:val="002408AE"/>
    <w:rsid w:val="00243739"/>
    <w:rsid w:val="00246C7F"/>
    <w:rsid w:val="00251790"/>
    <w:rsid w:val="00251F7F"/>
    <w:rsid w:val="002541E4"/>
    <w:rsid w:val="00254637"/>
    <w:rsid w:val="00260FF3"/>
    <w:rsid w:val="00261F05"/>
    <w:rsid w:val="00266976"/>
    <w:rsid w:val="00266FE3"/>
    <w:rsid w:val="00272E04"/>
    <w:rsid w:val="00273C59"/>
    <w:rsid w:val="00273F92"/>
    <w:rsid w:val="00277347"/>
    <w:rsid w:val="00277D02"/>
    <w:rsid w:val="00277F25"/>
    <w:rsid w:val="00281D2D"/>
    <w:rsid w:val="002826DD"/>
    <w:rsid w:val="00283194"/>
    <w:rsid w:val="0028358A"/>
    <w:rsid w:val="002839CF"/>
    <w:rsid w:val="0028662D"/>
    <w:rsid w:val="00291745"/>
    <w:rsid w:val="002917E8"/>
    <w:rsid w:val="0029721A"/>
    <w:rsid w:val="002A0D0B"/>
    <w:rsid w:val="002A161B"/>
    <w:rsid w:val="002A3926"/>
    <w:rsid w:val="002A3E06"/>
    <w:rsid w:val="002A5C73"/>
    <w:rsid w:val="002B2673"/>
    <w:rsid w:val="002B2C5D"/>
    <w:rsid w:val="002B56BE"/>
    <w:rsid w:val="002B57B9"/>
    <w:rsid w:val="002C53B8"/>
    <w:rsid w:val="002D334A"/>
    <w:rsid w:val="002D666D"/>
    <w:rsid w:val="002E0641"/>
    <w:rsid w:val="002E4613"/>
    <w:rsid w:val="002E532D"/>
    <w:rsid w:val="002E6776"/>
    <w:rsid w:val="002E7BC6"/>
    <w:rsid w:val="002F0583"/>
    <w:rsid w:val="002F0D20"/>
    <w:rsid w:val="002F0F15"/>
    <w:rsid w:val="002F20FB"/>
    <w:rsid w:val="002F3586"/>
    <w:rsid w:val="002F64A6"/>
    <w:rsid w:val="00300B4B"/>
    <w:rsid w:val="00303190"/>
    <w:rsid w:val="00304B40"/>
    <w:rsid w:val="00305459"/>
    <w:rsid w:val="00305BDE"/>
    <w:rsid w:val="00305E5A"/>
    <w:rsid w:val="00311685"/>
    <w:rsid w:val="0031220F"/>
    <w:rsid w:val="0031226D"/>
    <w:rsid w:val="0031689D"/>
    <w:rsid w:val="00322B58"/>
    <w:rsid w:val="00324A74"/>
    <w:rsid w:val="00324C60"/>
    <w:rsid w:val="00327E89"/>
    <w:rsid w:val="0033157B"/>
    <w:rsid w:val="003349D2"/>
    <w:rsid w:val="003373E8"/>
    <w:rsid w:val="0034005B"/>
    <w:rsid w:val="00343569"/>
    <w:rsid w:val="003439FE"/>
    <w:rsid w:val="00344060"/>
    <w:rsid w:val="003472FC"/>
    <w:rsid w:val="00350BFC"/>
    <w:rsid w:val="00353CC8"/>
    <w:rsid w:val="00356C88"/>
    <w:rsid w:val="00366FC2"/>
    <w:rsid w:val="003700A1"/>
    <w:rsid w:val="003716DF"/>
    <w:rsid w:val="00373E39"/>
    <w:rsid w:val="00374333"/>
    <w:rsid w:val="00375448"/>
    <w:rsid w:val="0038053E"/>
    <w:rsid w:val="003821AE"/>
    <w:rsid w:val="00384B2D"/>
    <w:rsid w:val="00384E79"/>
    <w:rsid w:val="00394931"/>
    <w:rsid w:val="00395ABD"/>
    <w:rsid w:val="003978CF"/>
    <w:rsid w:val="003B3D77"/>
    <w:rsid w:val="003B6202"/>
    <w:rsid w:val="003C2111"/>
    <w:rsid w:val="003C2696"/>
    <w:rsid w:val="003C2A76"/>
    <w:rsid w:val="003C5C0D"/>
    <w:rsid w:val="003D10E4"/>
    <w:rsid w:val="003D212C"/>
    <w:rsid w:val="003D4532"/>
    <w:rsid w:val="003E355A"/>
    <w:rsid w:val="003E5EC0"/>
    <w:rsid w:val="003E6A7C"/>
    <w:rsid w:val="003E7E60"/>
    <w:rsid w:val="003F0B56"/>
    <w:rsid w:val="003F1DFB"/>
    <w:rsid w:val="003F46D1"/>
    <w:rsid w:val="003F5605"/>
    <w:rsid w:val="003F600F"/>
    <w:rsid w:val="003F6C98"/>
    <w:rsid w:val="003F7963"/>
    <w:rsid w:val="00400739"/>
    <w:rsid w:val="00400B6C"/>
    <w:rsid w:val="00401605"/>
    <w:rsid w:val="004029B0"/>
    <w:rsid w:val="004033E6"/>
    <w:rsid w:val="0040351F"/>
    <w:rsid w:val="004049DA"/>
    <w:rsid w:val="00404E46"/>
    <w:rsid w:val="004066B8"/>
    <w:rsid w:val="004104FA"/>
    <w:rsid w:val="00412A62"/>
    <w:rsid w:val="00413D0C"/>
    <w:rsid w:val="00415230"/>
    <w:rsid w:val="00415992"/>
    <w:rsid w:val="00420369"/>
    <w:rsid w:val="00420843"/>
    <w:rsid w:val="00421088"/>
    <w:rsid w:val="0042171D"/>
    <w:rsid w:val="004232B4"/>
    <w:rsid w:val="00424F71"/>
    <w:rsid w:val="00434219"/>
    <w:rsid w:val="00434CC9"/>
    <w:rsid w:val="00437436"/>
    <w:rsid w:val="00441E8D"/>
    <w:rsid w:val="00444214"/>
    <w:rsid w:val="00445444"/>
    <w:rsid w:val="00446EE9"/>
    <w:rsid w:val="00450C52"/>
    <w:rsid w:val="00453096"/>
    <w:rsid w:val="00453823"/>
    <w:rsid w:val="004578AC"/>
    <w:rsid w:val="0046136E"/>
    <w:rsid w:val="00465281"/>
    <w:rsid w:val="00470320"/>
    <w:rsid w:val="0047116A"/>
    <w:rsid w:val="004726F2"/>
    <w:rsid w:val="00474053"/>
    <w:rsid w:val="004755AB"/>
    <w:rsid w:val="0047764C"/>
    <w:rsid w:val="0049315B"/>
    <w:rsid w:val="00497C1A"/>
    <w:rsid w:val="004A0BAB"/>
    <w:rsid w:val="004A42C5"/>
    <w:rsid w:val="004A5069"/>
    <w:rsid w:val="004B0E9D"/>
    <w:rsid w:val="004B1D98"/>
    <w:rsid w:val="004B25E9"/>
    <w:rsid w:val="004B6E14"/>
    <w:rsid w:val="004B71A6"/>
    <w:rsid w:val="004C0999"/>
    <w:rsid w:val="004C1FCA"/>
    <w:rsid w:val="004C40F0"/>
    <w:rsid w:val="004C54BF"/>
    <w:rsid w:val="004C582F"/>
    <w:rsid w:val="004C607A"/>
    <w:rsid w:val="004C6AA5"/>
    <w:rsid w:val="004D2200"/>
    <w:rsid w:val="004D3904"/>
    <w:rsid w:val="004D4B25"/>
    <w:rsid w:val="004D7AFB"/>
    <w:rsid w:val="004E4AAB"/>
    <w:rsid w:val="004E675C"/>
    <w:rsid w:val="004F1D1B"/>
    <w:rsid w:val="004F25C3"/>
    <w:rsid w:val="004F4FDC"/>
    <w:rsid w:val="0050127F"/>
    <w:rsid w:val="005022DB"/>
    <w:rsid w:val="005071B4"/>
    <w:rsid w:val="005073B0"/>
    <w:rsid w:val="005117A7"/>
    <w:rsid w:val="005175A5"/>
    <w:rsid w:val="00521F11"/>
    <w:rsid w:val="0052336F"/>
    <w:rsid w:val="00532576"/>
    <w:rsid w:val="005354D4"/>
    <w:rsid w:val="00542BE9"/>
    <w:rsid w:val="005436A7"/>
    <w:rsid w:val="00544B3A"/>
    <w:rsid w:val="00547410"/>
    <w:rsid w:val="00554161"/>
    <w:rsid w:val="005552DC"/>
    <w:rsid w:val="0056194A"/>
    <w:rsid w:val="0056449B"/>
    <w:rsid w:val="0056769B"/>
    <w:rsid w:val="005740D6"/>
    <w:rsid w:val="0057689E"/>
    <w:rsid w:val="00576CAE"/>
    <w:rsid w:val="00580A0A"/>
    <w:rsid w:val="00583595"/>
    <w:rsid w:val="00583976"/>
    <w:rsid w:val="005856ED"/>
    <w:rsid w:val="005868D1"/>
    <w:rsid w:val="005909BB"/>
    <w:rsid w:val="00590D96"/>
    <w:rsid w:val="00592F7F"/>
    <w:rsid w:val="0059608B"/>
    <w:rsid w:val="0059765B"/>
    <w:rsid w:val="005A099B"/>
    <w:rsid w:val="005A1E62"/>
    <w:rsid w:val="005A4C3A"/>
    <w:rsid w:val="005A6363"/>
    <w:rsid w:val="005A6BC3"/>
    <w:rsid w:val="005A7250"/>
    <w:rsid w:val="005B0EA1"/>
    <w:rsid w:val="005B29F3"/>
    <w:rsid w:val="005B3044"/>
    <w:rsid w:val="005B5DA0"/>
    <w:rsid w:val="005B73CD"/>
    <w:rsid w:val="005B7435"/>
    <w:rsid w:val="005B795A"/>
    <w:rsid w:val="005B7CDF"/>
    <w:rsid w:val="005C298D"/>
    <w:rsid w:val="005C2C01"/>
    <w:rsid w:val="005D1BF1"/>
    <w:rsid w:val="005D1C4E"/>
    <w:rsid w:val="005D248F"/>
    <w:rsid w:val="005D2650"/>
    <w:rsid w:val="005D35AC"/>
    <w:rsid w:val="005D3DB7"/>
    <w:rsid w:val="005E14FC"/>
    <w:rsid w:val="005E20ED"/>
    <w:rsid w:val="005E308F"/>
    <w:rsid w:val="005E4DC1"/>
    <w:rsid w:val="005E5CB3"/>
    <w:rsid w:val="005F168F"/>
    <w:rsid w:val="005F50C1"/>
    <w:rsid w:val="005F5180"/>
    <w:rsid w:val="005F7B5B"/>
    <w:rsid w:val="00603E60"/>
    <w:rsid w:val="006043C2"/>
    <w:rsid w:val="00607091"/>
    <w:rsid w:val="00607509"/>
    <w:rsid w:val="00610B88"/>
    <w:rsid w:val="00610CA6"/>
    <w:rsid w:val="006161D0"/>
    <w:rsid w:val="00616BCA"/>
    <w:rsid w:val="00625094"/>
    <w:rsid w:val="00633719"/>
    <w:rsid w:val="00633E51"/>
    <w:rsid w:val="006354FA"/>
    <w:rsid w:val="00635E39"/>
    <w:rsid w:val="006411CF"/>
    <w:rsid w:val="0064203D"/>
    <w:rsid w:val="006426D0"/>
    <w:rsid w:val="006427D5"/>
    <w:rsid w:val="00642E0C"/>
    <w:rsid w:val="006440E9"/>
    <w:rsid w:val="006447C4"/>
    <w:rsid w:val="00646A73"/>
    <w:rsid w:val="0065182E"/>
    <w:rsid w:val="006521B6"/>
    <w:rsid w:val="006569FF"/>
    <w:rsid w:val="00660496"/>
    <w:rsid w:val="00666346"/>
    <w:rsid w:val="00666F07"/>
    <w:rsid w:val="00667AF5"/>
    <w:rsid w:val="00667E06"/>
    <w:rsid w:val="00667E0E"/>
    <w:rsid w:val="00676505"/>
    <w:rsid w:val="006769E2"/>
    <w:rsid w:val="00680A87"/>
    <w:rsid w:val="00682470"/>
    <w:rsid w:val="006828A8"/>
    <w:rsid w:val="00686DD7"/>
    <w:rsid w:val="006873D7"/>
    <w:rsid w:val="00692AD0"/>
    <w:rsid w:val="00692E38"/>
    <w:rsid w:val="006938DF"/>
    <w:rsid w:val="006A3F22"/>
    <w:rsid w:val="006A3FA6"/>
    <w:rsid w:val="006A7CDF"/>
    <w:rsid w:val="006B4B86"/>
    <w:rsid w:val="006B6D77"/>
    <w:rsid w:val="006C41ED"/>
    <w:rsid w:val="006C487E"/>
    <w:rsid w:val="006C5957"/>
    <w:rsid w:val="006D432C"/>
    <w:rsid w:val="006D49B3"/>
    <w:rsid w:val="006E0548"/>
    <w:rsid w:val="006E25F4"/>
    <w:rsid w:val="006E39BB"/>
    <w:rsid w:val="006E56CC"/>
    <w:rsid w:val="006E67A7"/>
    <w:rsid w:val="006F1479"/>
    <w:rsid w:val="006F6E7B"/>
    <w:rsid w:val="006F70D5"/>
    <w:rsid w:val="007014CF"/>
    <w:rsid w:val="00707215"/>
    <w:rsid w:val="00713FBB"/>
    <w:rsid w:val="00714397"/>
    <w:rsid w:val="007219E2"/>
    <w:rsid w:val="00722BA5"/>
    <w:rsid w:val="007277CB"/>
    <w:rsid w:val="0073146F"/>
    <w:rsid w:val="007316C9"/>
    <w:rsid w:val="00731F98"/>
    <w:rsid w:val="00732A1E"/>
    <w:rsid w:val="00734A31"/>
    <w:rsid w:val="00734E00"/>
    <w:rsid w:val="00740EF2"/>
    <w:rsid w:val="0074292F"/>
    <w:rsid w:val="00745158"/>
    <w:rsid w:val="00745E22"/>
    <w:rsid w:val="0074611B"/>
    <w:rsid w:val="0074735D"/>
    <w:rsid w:val="00750FF6"/>
    <w:rsid w:val="00751111"/>
    <w:rsid w:val="007516BB"/>
    <w:rsid w:val="0075690A"/>
    <w:rsid w:val="00760F55"/>
    <w:rsid w:val="00765E35"/>
    <w:rsid w:val="00766D98"/>
    <w:rsid w:val="007671AF"/>
    <w:rsid w:val="00770729"/>
    <w:rsid w:val="00770A37"/>
    <w:rsid w:val="00770D15"/>
    <w:rsid w:val="007710EC"/>
    <w:rsid w:val="00774709"/>
    <w:rsid w:val="00776D3A"/>
    <w:rsid w:val="00776E46"/>
    <w:rsid w:val="00777231"/>
    <w:rsid w:val="00777769"/>
    <w:rsid w:val="00777CB2"/>
    <w:rsid w:val="007805F4"/>
    <w:rsid w:val="007815EA"/>
    <w:rsid w:val="00785028"/>
    <w:rsid w:val="00792FB2"/>
    <w:rsid w:val="007A160B"/>
    <w:rsid w:val="007A16E9"/>
    <w:rsid w:val="007A242C"/>
    <w:rsid w:val="007A6A47"/>
    <w:rsid w:val="007B2FA7"/>
    <w:rsid w:val="007B5ED0"/>
    <w:rsid w:val="007C1F73"/>
    <w:rsid w:val="007D1CE9"/>
    <w:rsid w:val="007D3315"/>
    <w:rsid w:val="007D4372"/>
    <w:rsid w:val="007D4D45"/>
    <w:rsid w:val="007D53DF"/>
    <w:rsid w:val="007D5CC2"/>
    <w:rsid w:val="007D7DC0"/>
    <w:rsid w:val="007E1076"/>
    <w:rsid w:val="007E1695"/>
    <w:rsid w:val="007E3DB1"/>
    <w:rsid w:val="007E4F05"/>
    <w:rsid w:val="007E66BE"/>
    <w:rsid w:val="007F53B7"/>
    <w:rsid w:val="007F6E62"/>
    <w:rsid w:val="008006E1"/>
    <w:rsid w:val="00803BBD"/>
    <w:rsid w:val="00805903"/>
    <w:rsid w:val="00810DC8"/>
    <w:rsid w:val="008130A8"/>
    <w:rsid w:val="00820339"/>
    <w:rsid w:val="008205D5"/>
    <w:rsid w:val="008214F7"/>
    <w:rsid w:val="00822665"/>
    <w:rsid w:val="00825CF6"/>
    <w:rsid w:val="008303E9"/>
    <w:rsid w:val="00831ADE"/>
    <w:rsid w:val="008322A1"/>
    <w:rsid w:val="00832DAE"/>
    <w:rsid w:val="008448C6"/>
    <w:rsid w:val="00844BE2"/>
    <w:rsid w:val="00846242"/>
    <w:rsid w:val="00846ED8"/>
    <w:rsid w:val="008527B2"/>
    <w:rsid w:val="00854A66"/>
    <w:rsid w:val="00855B3C"/>
    <w:rsid w:val="00856853"/>
    <w:rsid w:val="00860A57"/>
    <w:rsid w:val="00861550"/>
    <w:rsid w:val="00862499"/>
    <w:rsid w:val="00864270"/>
    <w:rsid w:val="00865D20"/>
    <w:rsid w:val="0086639A"/>
    <w:rsid w:val="0086662A"/>
    <w:rsid w:val="00871555"/>
    <w:rsid w:val="00872374"/>
    <w:rsid w:val="008732D4"/>
    <w:rsid w:val="00873E3F"/>
    <w:rsid w:val="00874480"/>
    <w:rsid w:val="0087542F"/>
    <w:rsid w:val="00880036"/>
    <w:rsid w:val="00884013"/>
    <w:rsid w:val="00887CC8"/>
    <w:rsid w:val="00890E38"/>
    <w:rsid w:val="0089144C"/>
    <w:rsid w:val="00894631"/>
    <w:rsid w:val="008953D7"/>
    <w:rsid w:val="00897737"/>
    <w:rsid w:val="008A3D6B"/>
    <w:rsid w:val="008B0515"/>
    <w:rsid w:val="008B63B7"/>
    <w:rsid w:val="008B7AD7"/>
    <w:rsid w:val="008C145A"/>
    <w:rsid w:val="008C161C"/>
    <w:rsid w:val="008C24B6"/>
    <w:rsid w:val="008C387F"/>
    <w:rsid w:val="008C3DC6"/>
    <w:rsid w:val="008C642D"/>
    <w:rsid w:val="008C7068"/>
    <w:rsid w:val="008D0207"/>
    <w:rsid w:val="008D5D50"/>
    <w:rsid w:val="008D7606"/>
    <w:rsid w:val="008E1454"/>
    <w:rsid w:val="008E6AF6"/>
    <w:rsid w:val="008E707D"/>
    <w:rsid w:val="008F15E8"/>
    <w:rsid w:val="008F2132"/>
    <w:rsid w:val="008F28DD"/>
    <w:rsid w:val="008F5DCF"/>
    <w:rsid w:val="008F770B"/>
    <w:rsid w:val="009004CC"/>
    <w:rsid w:val="00904248"/>
    <w:rsid w:val="00905004"/>
    <w:rsid w:val="00907E13"/>
    <w:rsid w:val="009103C2"/>
    <w:rsid w:val="00912274"/>
    <w:rsid w:val="00912373"/>
    <w:rsid w:val="009125D5"/>
    <w:rsid w:val="00913E7B"/>
    <w:rsid w:val="009171AD"/>
    <w:rsid w:val="00924D2D"/>
    <w:rsid w:val="00926175"/>
    <w:rsid w:val="00927C0D"/>
    <w:rsid w:val="009307AA"/>
    <w:rsid w:val="00931F0B"/>
    <w:rsid w:val="009362DD"/>
    <w:rsid w:val="00940C82"/>
    <w:rsid w:val="0094365F"/>
    <w:rsid w:val="0094389E"/>
    <w:rsid w:val="00945518"/>
    <w:rsid w:val="009466DE"/>
    <w:rsid w:val="00962267"/>
    <w:rsid w:val="009623D3"/>
    <w:rsid w:val="009631EA"/>
    <w:rsid w:val="00967690"/>
    <w:rsid w:val="00976354"/>
    <w:rsid w:val="009775CD"/>
    <w:rsid w:val="00984DE0"/>
    <w:rsid w:val="00992783"/>
    <w:rsid w:val="0099472E"/>
    <w:rsid w:val="00994A45"/>
    <w:rsid w:val="009963A6"/>
    <w:rsid w:val="009A21E1"/>
    <w:rsid w:val="009A38C6"/>
    <w:rsid w:val="009A5B2E"/>
    <w:rsid w:val="009A5DF4"/>
    <w:rsid w:val="009B5300"/>
    <w:rsid w:val="009B582F"/>
    <w:rsid w:val="009B6583"/>
    <w:rsid w:val="009C296C"/>
    <w:rsid w:val="009D0EAD"/>
    <w:rsid w:val="009D26C7"/>
    <w:rsid w:val="009D5404"/>
    <w:rsid w:val="009D69C4"/>
    <w:rsid w:val="009D6A4B"/>
    <w:rsid w:val="009F0DFC"/>
    <w:rsid w:val="009F1396"/>
    <w:rsid w:val="009F1942"/>
    <w:rsid w:val="009F1F06"/>
    <w:rsid w:val="009F2756"/>
    <w:rsid w:val="009F3449"/>
    <w:rsid w:val="009F6297"/>
    <w:rsid w:val="009F66C1"/>
    <w:rsid w:val="00A05174"/>
    <w:rsid w:val="00A05B2C"/>
    <w:rsid w:val="00A15B6D"/>
    <w:rsid w:val="00A165F4"/>
    <w:rsid w:val="00A20993"/>
    <w:rsid w:val="00A21002"/>
    <w:rsid w:val="00A23E0C"/>
    <w:rsid w:val="00A26BA9"/>
    <w:rsid w:val="00A27472"/>
    <w:rsid w:val="00A36344"/>
    <w:rsid w:val="00A37103"/>
    <w:rsid w:val="00A45E1F"/>
    <w:rsid w:val="00A46488"/>
    <w:rsid w:val="00A475D5"/>
    <w:rsid w:val="00A50022"/>
    <w:rsid w:val="00A50657"/>
    <w:rsid w:val="00A51C3E"/>
    <w:rsid w:val="00A5223F"/>
    <w:rsid w:val="00A54618"/>
    <w:rsid w:val="00A54AC3"/>
    <w:rsid w:val="00A57054"/>
    <w:rsid w:val="00A57A03"/>
    <w:rsid w:val="00A57A2A"/>
    <w:rsid w:val="00A61D57"/>
    <w:rsid w:val="00A62132"/>
    <w:rsid w:val="00A63816"/>
    <w:rsid w:val="00A64AB4"/>
    <w:rsid w:val="00A64F0B"/>
    <w:rsid w:val="00A70073"/>
    <w:rsid w:val="00A70E7E"/>
    <w:rsid w:val="00A72619"/>
    <w:rsid w:val="00A7264A"/>
    <w:rsid w:val="00A74C90"/>
    <w:rsid w:val="00A8053A"/>
    <w:rsid w:val="00A811C3"/>
    <w:rsid w:val="00A812F4"/>
    <w:rsid w:val="00A81334"/>
    <w:rsid w:val="00A837CD"/>
    <w:rsid w:val="00A84DB3"/>
    <w:rsid w:val="00A8623F"/>
    <w:rsid w:val="00A8765A"/>
    <w:rsid w:val="00A91094"/>
    <w:rsid w:val="00A92B01"/>
    <w:rsid w:val="00A93B7B"/>
    <w:rsid w:val="00AA0316"/>
    <w:rsid w:val="00AA0BF5"/>
    <w:rsid w:val="00AA3316"/>
    <w:rsid w:val="00AA3C9A"/>
    <w:rsid w:val="00AA499C"/>
    <w:rsid w:val="00AA525F"/>
    <w:rsid w:val="00AB13DC"/>
    <w:rsid w:val="00AB1EFD"/>
    <w:rsid w:val="00AB531D"/>
    <w:rsid w:val="00AC1B44"/>
    <w:rsid w:val="00AC212D"/>
    <w:rsid w:val="00AC36B2"/>
    <w:rsid w:val="00AC3BFD"/>
    <w:rsid w:val="00AC3CB5"/>
    <w:rsid w:val="00AC3DB8"/>
    <w:rsid w:val="00AC3E02"/>
    <w:rsid w:val="00AC46EA"/>
    <w:rsid w:val="00AC7479"/>
    <w:rsid w:val="00AC761E"/>
    <w:rsid w:val="00AD0A9A"/>
    <w:rsid w:val="00AD2EE6"/>
    <w:rsid w:val="00AD4077"/>
    <w:rsid w:val="00AD4108"/>
    <w:rsid w:val="00AE4A86"/>
    <w:rsid w:val="00AE4AD8"/>
    <w:rsid w:val="00AF0A54"/>
    <w:rsid w:val="00AF48FD"/>
    <w:rsid w:val="00AF4A09"/>
    <w:rsid w:val="00AF651A"/>
    <w:rsid w:val="00B02B79"/>
    <w:rsid w:val="00B10C92"/>
    <w:rsid w:val="00B12C09"/>
    <w:rsid w:val="00B24461"/>
    <w:rsid w:val="00B27FFA"/>
    <w:rsid w:val="00B351CF"/>
    <w:rsid w:val="00B37BE7"/>
    <w:rsid w:val="00B37C99"/>
    <w:rsid w:val="00B41C31"/>
    <w:rsid w:val="00B42697"/>
    <w:rsid w:val="00B42994"/>
    <w:rsid w:val="00B452CE"/>
    <w:rsid w:val="00B475E3"/>
    <w:rsid w:val="00B529BD"/>
    <w:rsid w:val="00B53AF8"/>
    <w:rsid w:val="00B540DA"/>
    <w:rsid w:val="00B54AFE"/>
    <w:rsid w:val="00B54D9B"/>
    <w:rsid w:val="00B5623B"/>
    <w:rsid w:val="00B56360"/>
    <w:rsid w:val="00B568CC"/>
    <w:rsid w:val="00B638C6"/>
    <w:rsid w:val="00B64529"/>
    <w:rsid w:val="00B6480F"/>
    <w:rsid w:val="00B70171"/>
    <w:rsid w:val="00B7614D"/>
    <w:rsid w:val="00B764D3"/>
    <w:rsid w:val="00B76A59"/>
    <w:rsid w:val="00B93404"/>
    <w:rsid w:val="00B93B78"/>
    <w:rsid w:val="00B95C70"/>
    <w:rsid w:val="00BA2C1C"/>
    <w:rsid w:val="00BA509F"/>
    <w:rsid w:val="00BA5503"/>
    <w:rsid w:val="00BA57AF"/>
    <w:rsid w:val="00BA6C36"/>
    <w:rsid w:val="00BA76B7"/>
    <w:rsid w:val="00BB515A"/>
    <w:rsid w:val="00BC0D8D"/>
    <w:rsid w:val="00BC0DE9"/>
    <w:rsid w:val="00BD1C7B"/>
    <w:rsid w:val="00BD29B6"/>
    <w:rsid w:val="00BD3DA6"/>
    <w:rsid w:val="00BD4D44"/>
    <w:rsid w:val="00BD5BCD"/>
    <w:rsid w:val="00BE2E4F"/>
    <w:rsid w:val="00BE4AB6"/>
    <w:rsid w:val="00BE6927"/>
    <w:rsid w:val="00BF751D"/>
    <w:rsid w:val="00C03CD1"/>
    <w:rsid w:val="00C03FF3"/>
    <w:rsid w:val="00C05336"/>
    <w:rsid w:val="00C064EE"/>
    <w:rsid w:val="00C07401"/>
    <w:rsid w:val="00C12F39"/>
    <w:rsid w:val="00C17923"/>
    <w:rsid w:val="00C2070A"/>
    <w:rsid w:val="00C23529"/>
    <w:rsid w:val="00C24EC4"/>
    <w:rsid w:val="00C25ECB"/>
    <w:rsid w:val="00C2714A"/>
    <w:rsid w:val="00C32E02"/>
    <w:rsid w:val="00C33D5F"/>
    <w:rsid w:val="00C341DB"/>
    <w:rsid w:val="00C36366"/>
    <w:rsid w:val="00C44F3C"/>
    <w:rsid w:val="00C45C2C"/>
    <w:rsid w:val="00C4629A"/>
    <w:rsid w:val="00C46963"/>
    <w:rsid w:val="00C5112C"/>
    <w:rsid w:val="00C518A9"/>
    <w:rsid w:val="00C53ACC"/>
    <w:rsid w:val="00C53F46"/>
    <w:rsid w:val="00C56AB5"/>
    <w:rsid w:val="00C646D6"/>
    <w:rsid w:val="00C647E8"/>
    <w:rsid w:val="00C64D38"/>
    <w:rsid w:val="00C67D5B"/>
    <w:rsid w:val="00C70570"/>
    <w:rsid w:val="00C70E75"/>
    <w:rsid w:val="00C733F0"/>
    <w:rsid w:val="00C815C0"/>
    <w:rsid w:val="00C87642"/>
    <w:rsid w:val="00C92E65"/>
    <w:rsid w:val="00C945E2"/>
    <w:rsid w:val="00C9576B"/>
    <w:rsid w:val="00C95CD6"/>
    <w:rsid w:val="00C97F8D"/>
    <w:rsid w:val="00CA2B5E"/>
    <w:rsid w:val="00CA48DD"/>
    <w:rsid w:val="00CA525D"/>
    <w:rsid w:val="00CB0041"/>
    <w:rsid w:val="00CB197E"/>
    <w:rsid w:val="00CB2484"/>
    <w:rsid w:val="00CB283B"/>
    <w:rsid w:val="00CB3AD4"/>
    <w:rsid w:val="00CB435D"/>
    <w:rsid w:val="00CB4BE0"/>
    <w:rsid w:val="00CB697B"/>
    <w:rsid w:val="00CC07A3"/>
    <w:rsid w:val="00CC1657"/>
    <w:rsid w:val="00CC291B"/>
    <w:rsid w:val="00CC77F2"/>
    <w:rsid w:val="00CD302A"/>
    <w:rsid w:val="00CD494C"/>
    <w:rsid w:val="00CD6CB9"/>
    <w:rsid w:val="00CD758F"/>
    <w:rsid w:val="00CD7FF2"/>
    <w:rsid w:val="00CE5DF3"/>
    <w:rsid w:val="00CE790F"/>
    <w:rsid w:val="00CF305B"/>
    <w:rsid w:val="00CF4733"/>
    <w:rsid w:val="00CF4E15"/>
    <w:rsid w:val="00CF6B8A"/>
    <w:rsid w:val="00D0343B"/>
    <w:rsid w:val="00D0402B"/>
    <w:rsid w:val="00D060B0"/>
    <w:rsid w:val="00D07E6B"/>
    <w:rsid w:val="00D125C6"/>
    <w:rsid w:val="00D15F6F"/>
    <w:rsid w:val="00D16F7A"/>
    <w:rsid w:val="00D20A83"/>
    <w:rsid w:val="00D214D8"/>
    <w:rsid w:val="00D22FBC"/>
    <w:rsid w:val="00D23817"/>
    <w:rsid w:val="00D24F50"/>
    <w:rsid w:val="00D26D4A"/>
    <w:rsid w:val="00D27263"/>
    <w:rsid w:val="00D327DF"/>
    <w:rsid w:val="00D371D6"/>
    <w:rsid w:val="00D3723E"/>
    <w:rsid w:val="00D37B85"/>
    <w:rsid w:val="00D40B68"/>
    <w:rsid w:val="00D43772"/>
    <w:rsid w:val="00D43CD5"/>
    <w:rsid w:val="00D452CE"/>
    <w:rsid w:val="00D45DE7"/>
    <w:rsid w:val="00D46552"/>
    <w:rsid w:val="00D551EB"/>
    <w:rsid w:val="00D570BC"/>
    <w:rsid w:val="00D600C1"/>
    <w:rsid w:val="00D621FA"/>
    <w:rsid w:val="00D63AB5"/>
    <w:rsid w:val="00D67180"/>
    <w:rsid w:val="00D71577"/>
    <w:rsid w:val="00D73ECF"/>
    <w:rsid w:val="00D74803"/>
    <w:rsid w:val="00D81847"/>
    <w:rsid w:val="00D825A3"/>
    <w:rsid w:val="00D83639"/>
    <w:rsid w:val="00D9584A"/>
    <w:rsid w:val="00DA13F5"/>
    <w:rsid w:val="00DA2830"/>
    <w:rsid w:val="00DA2F4F"/>
    <w:rsid w:val="00DA33FD"/>
    <w:rsid w:val="00DA402D"/>
    <w:rsid w:val="00DA4314"/>
    <w:rsid w:val="00DA58AA"/>
    <w:rsid w:val="00DB237E"/>
    <w:rsid w:val="00DB62CF"/>
    <w:rsid w:val="00DC12DF"/>
    <w:rsid w:val="00DC2D03"/>
    <w:rsid w:val="00DC6EC1"/>
    <w:rsid w:val="00DC72F4"/>
    <w:rsid w:val="00DC7A72"/>
    <w:rsid w:val="00DC7D00"/>
    <w:rsid w:val="00DD1683"/>
    <w:rsid w:val="00DD16E4"/>
    <w:rsid w:val="00DE6B32"/>
    <w:rsid w:val="00DE6D33"/>
    <w:rsid w:val="00DF2DFA"/>
    <w:rsid w:val="00DF418E"/>
    <w:rsid w:val="00DF5C14"/>
    <w:rsid w:val="00DF6231"/>
    <w:rsid w:val="00DF64E8"/>
    <w:rsid w:val="00DF681D"/>
    <w:rsid w:val="00DF7668"/>
    <w:rsid w:val="00DF76F4"/>
    <w:rsid w:val="00E030F5"/>
    <w:rsid w:val="00E044A8"/>
    <w:rsid w:val="00E04ABF"/>
    <w:rsid w:val="00E07784"/>
    <w:rsid w:val="00E1257C"/>
    <w:rsid w:val="00E21E8B"/>
    <w:rsid w:val="00E22D35"/>
    <w:rsid w:val="00E2538B"/>
    <w:rsid w:val="00E26E06"/>
    <w:rsid w:val="00E3207A"/>
    <w:rsid w:val="00E34F35"/>
    <w:rsid w:val="00E351F9"/>
    <w:rsid w:val="00E37435"/>
    <w:rsid w:val="00E41B91"/>
    <w:rsid w:val="00E41CBA"/>
    <w:rsid w:val="00E43E06"/>
    <w:rsid w:val="00E46B54"/>
    <w:rsid w:val="00E52D3D"/>
    <w:rsid w:val="00E53ED4"/>
    <w:rsid w:val="00E54AA5"/>
    <w:rsid w:val="00E553C2"/>
    <w:rsid w:val="00E57408"/>
    <w:rsid w:val="00E606D2"/>
    <w:rsid w:val="00E60945"/>
    <w:rsid w:val="00E60992"/>
    <w:rsid w:val="00E62E8E"/>
    <w:rsid w:val="00E64E3C"/>
    <w:rsid w:val="00E66174"/>
    <w:rsid w:val="00E67AB1"/>
    <w:rsid w:val="00E720EE"/>
    <w:rsid w:val="00E74980"/>
    <w:rsid w:val="00E75D05"/>
    <w:rsid w:val="00E7742E"/>
    <w:rsid w:val="00E775CA"/>
    <w:rsid w:val="00E819D7"/>
    <w:rsid w:val="00E82826"/>
    <w:rsid w:val="00E8292A"/>
    <w:rsid w:val="00E82A3E"/>
    <w:rsid w:val="00E85F16"/>
    <w:rsid w:val="00E90601"/>
    <w:rsid w:val="00E9172D"/>
    <w:rsid w:val="00E92183"/>
    <w:rsid w:val="00E94C36"/>
    <w:rsid w:val="00E9627E"/>
    <w:rsid w:val="00EA0074"/>
    <w:rsid w:val="00EA537B"/>
    <w:rsid w:val="00EA5EE5"/>
    <w:rsid w:val="00EA6052"/>
    <w:rsid w:val="00EA65B2"/>
    <w:rsid w:val="00EA67B6"/>
    <w:rsid w:val="00EA6AF3"/>
    <w:rsid w:val="00EB0FD3"/>
    <w:rsid w:val="00EB1155"/>
    <w:rsid w:val="00EB60DD"/>
    <w:rsid w:val="00EC2806"/>
    <w:rsid w:val="00EC4E9E"/>
    <w:rsid w:val="00EC5DAF"/>
    <w:rsid w:val="00ED19FE"/>
    <w:rsid w:val="00ED2AAA"/>
    <w:rsid w:val="00ED4465"/>
    <w:rsid w:val="00ED7B38"/>
    <w:rsid w:val="00EE0338"/>
    <w:rsid w:val="00EE2579"/>
    <w:rsid w:val="00EE33C0"/>
    <w:rsid w:val="00EF3B6F"/>
    <w:rsid w:val="00EF44E0"/>
    <w:rsid w:val="00EF5F75"/>
    <w:rsid w:val="00EF62A0"/>
    <w:rsid w:val="00EF7CA9"/>
    <w:rsid w:val="00F00876"/>
    <w:rsid w:val="00F0130B"/>
    <w:rsid w:val="00F029B6"/>
    <w:rsid w:val="00F04360"/>
    <w:rsid w:val="00F06D23"/>
    <w:rsid w:val="00F112DD"/>
    <w:rsid w:val="00F128DC"/>
    <w:rsid w:val="00F1484B"/>
    <w:rsid w:val="00F15723"/>
    <w:rsid w:val="00F15EE6"/>
    <w:rsid w:val="00F17E8C"/>
    <w:rsid w:val="00F408D6"/>
    <w:rsid w:val="00F410D1"/>
    <w:rsid w:val="00F42CEA"/>
    <w:rsid w:val="00F44D06"/>
    <w:rsid w:val="00F46BAA"/>
    <w:rsid w:val="00F471B4"/>
    <w:rsid w:val="00F515B5"/>
    <w:rsid w:val="00F52184"/>
    <w:rsid w:val="00F64DD2"/>
    <w:rsid w:val="00F65748"/>
    <w:rsid w:val="00F669FE"/>
    <w:rsid w:val="00F67606"/>
    <w:rsid w:val="00F702BB"/>
    <w:rsid w:val="00F70D15"/>
    <w:rsid w:val="00F73522"/>
    <w:rsid w:val="00F77423"/>
    <w:rsid w:val="00F910B6"/>
    <w:rsid w:val="00F93FCD"/>
    <w:rsid w:val="00F94EFF"/>
    <w:rsid w:val="00F96B2D"/>
    <w:rsid w:val="00FA2088"/>
    <w:rsid w:val="00FA289D"/>
    <w:rsid w:val="00FA4B66"/>
    <w:rsid w:val="00FB1A1F"/>
    <w:rsid w:val="00FB1E0F"/>
    <w:rsid w:val="00FB72F1"/>
    <w:rsid w:val="00FB7397"/>
    <w:rsid w:val="00FC0A4D"/>
    <w:rsid w:val="00FD0A59"/>
    <w:rsid w:val="00FD23A9"/>
    <w:rsid w:val="00FD6A57"/>
    <w:rsid w:val="00FE05B3"/>
    <w:rsid w:val="00FE25FF"/>
    <w:rsid w:val="00FE306A"/>
    <w:rsid w:val="00FE4286"/>
    <w:rsid w:val="00FE5619"/>
    <w:rsid w:val="00FE7D00"/>
    <w:rsid w:val="00FF1672"/>
    <w:rsid w:val="00FF1CA9"/>
    <w:rsid w:val="00FF21E0"/>
    <w:rsid w:val="00FF647B"/>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910FE"/>
  <w15:chartTrackingRefBased/>
  <w15:docId w15:val="{0AF2820A-F2D4-48F2-8E0E-DEDDE404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90E38"/>
    <w:pPr>
      <w:tabs>
        <w:tab w:val="left" w:pos="567"/>
      </w:tabs>
      <w:spacing w:line="260" w:lineRule="exact"/>
    </w:pPr>
    <w:rPr>
      <w:sz w:val="22"/>
      <w:lang w:val="bg-BG"/>
    </w:rPr>
  </w:style>
  <w:style w:type="paragraph" w:styleId="Nagwek1">
    <w:name w:val="heading 1"/>
    <w:basedOn w:val="Normalny"/>
    <w:next w:val="Normalny"/>
    <w:qFormat/>
    <w:pPr>
      <w:spacing w:before="240" w:after="120"/>
      <w:ind w:left="357" w:hanging="357"/>
      <w:outlineLvl w:val="0"/>
    </w:pPr>
    <w:rPr>
      <w:b/>
      <w:caps/>
      <w:sz w:val="26"/>
      <w:lang w:val="en-US"/>
    </w:rPr>
  </w:style>
  <w:style w:type="paragraph" w:styleId="Nagwek2">
    <w:name w:val="heading 2"/>
    <w:basedOn w:val="Normalny"/>
    <w:next w:val="Normalny"/>
    <w:qFormat/>
    <w:pPr>
      <w:keepNext/>
      <w:spacing w:before="240" w:after="60"/>
      <w:outlineLvl w:val="1"/>
    </w:pPr>
    <w:rPr>
      <w:rFonts w:ascii="Helvetica" w:hAnsi="Helvetica"/>
      <w:b/>
      <w:i/>
      <w:sz w:val="24"/>
    </w:rPr>
  </w:style>
  <w:style w:type="paragraph" w:styleId="Nagwek3">
    <w:name w:val="heading 3"/>
    <w:basedOn w:val="Normalny"/>
    <w:next w:val="Normalny"/>
    <w:qFormat/>
    <w:pPr>
      <w:keepNext/>
      <w:keepLines/>
      <w:spacing w:before="120" w:after="80"/>
      <w:outlineLvl w:val="2"/>
    </w:pPr>
    <w:rPr>
      <w:b/>
      <w:kern w:val="28"/>
      <w:sz w:val="24"/>
      <w:lang w:val="en-US"/>
    </w:rPr>
  </w:style>
  <w:style w:type="paragraph" w:styleId="Nagwek4">
    <w:name w:val="heading 4"/>
    <w:basedOn w:val="Normalny"/>
    <w:next w:val="Normalny"/>
    <w:qFormat/>
    <w:pPr>
      <w:keepNext/>
      <w:jc w:val="both"/>
      <w:outlineLvl w:val="3"/>
    </w:pPr>
    <w:rPr>
      <w:b/>
      <w:noProof/>
    </w:rPr>
  </w:style>
  <w:style w:type="paragraph" w:styleId="Nagwek5">
    <w:name w:val="heading 5"/>
    <w:basedOn w:val="Normalny"/>
    <w:next w:val="Normalny"/>
    <w:qFormat/>
    <w:pPr>
      <w:keepNext/>
      <w:jc w:val="both"/>
      <w:outlineLvl w:val="4"/>
    </w:pPr>
    <w:rPr>
      <w:noProof/>
    </w:rPr>
  </w:style>
  <w:style w:type="paragraph" w:styleId="Nagwek6">
    <w:name w:val="heading 6"/>
    <w:basedOn w:val="Normalny"/>
    <w:next w:val="Normalny"/>
    <w:qFormat/>
    <w:pPr>
      <w:keepNext/>
      <w:tabs>
        <w:tab w:val="left" w:pos="-720"/>
        <w:tab w:val="left" w:pos="4536"/>
      </w:tabs>
      <w:suppressAutoHyphens/>
      <w:outlineLvl w:val="5"/>
    </w:pPr>
    <w:rPr>
      <w:i/>
    </w:rPr>
  </w:style>
  <w:style w:type="paragraph" w:styleId="Nagwek7">
    <w:name w:val="heading 7"/>
    <w:basedOn w:val="Normalny"/>
    <w:next w:val="Normalny"/>
    <w:qFormat/>
    <w:pPr>
      <w:keepNext/>
      <w:tabs>
        <w:tab w:val="left" w:pos="-720"/>
        <w:tab w:val="left" w:pos="4536"/>
      </w:tabs>
      <w:suppressAutoHyphens/>
      <w:jc w:val="both"/>
      <w:outlineLvl w:val="6"/>
    </w:pPr>
    <w:rPr>
      <w:i/>
    </w:rPr>
  </w:style>
  <w:style w:type="paragraph" w:styleId="Nagwek8">
    <w:name w:val="heading 8"/>
    <w:basedOn w:val="Normalny"/>
    <w:next w:val="Normalny"/>
    <w:qFormat/>
    <w:pPr>
      <w:keepNext/>
      <w:ind w:left="567" w:hanging="567"/>
      <w:jc w:val="both"/>
      <w:outlineLvl w:val="7"/>
    </w:pPr>
    <w:rPr>
      <w:b/>
      <w:i/>
    </w:rPr>
  </w:style>
  <w:style w:type="paragraph" w:styleId="Nagwek9">
    <w:name w:val="heading 9"/>
    <w:basedOn w:val="Normalny"/>
    <w:next w:val="Normalny"/>
    <w:qFormat/>
    <w:pPr>
      <w:keepNext/>
      <w:jc w:val="both"/>
      <w:outlineLvl w:val="8"/>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153"/>
        <w:tab w:val="right" w:pos="8306"/>
      </w:tabs>
      <w:spacing w:line="240" w:lineRule="auto"/>
    </w:pPr>
    <w:rPr>
      <w:rFonts w:ascii="Helvetica" w:hAnsi="Helvetica"/>
      <w:sz w:val="20"/>
    </w:rPr>
  </w:style>
  <w:style w:type="paragraph" w:styleId="Stopka">
    <w:name w:val="footer"/>
    <w:basedOn w:val="Normalny"/>
    <w:link w:val="StopkaZnak"/>
    <w:uiPriority w:val="99"/>
    <w:pPr>
      <w:tabs>
        <w:tab w:val="center" w:pos="4536"/>
        <w:tab w:val="center" w:pos="8930"/>
      </w:tabs>
      <w:spacing w:line="240" w:lineRule="auto"/>
    </w:pPr>
    <w:rPr>
      <w:rFonts w:ascii="Helvetica" w:hAnsi="Helvetica"/>
      <w:sz w:val="16"/>
    </w:rPr>
  </w:style>
  <w:style w:type="character" w:styleId="Numerstrony">
    <w:name w:val="page number"/>
    <w:basedOn w:val="Domylnaczcionkaakapitu"/>
  </w:style>
  <w:style w:type="paragraph" w:styleId="Tekstpodstawowywcity">
    <w:name w:val="Body Text Indent"/>
    <w:basedOn w:val="Normalny"/>
    <w:pPr>
      <w:tabs>
        <w:tab w:val="clear" w:pos="567"/>
      </w:tabs>
      <w:autoSpaceDE w:val="0"/>
      <w:autoSpaceDN w:val="0"/>
      <w:adjustRightInd w:val="0"/>
      <w:spacing w:line="240" w:lineRule="auto"/>
      <w:ind w:left="720"/>
      <w:jc w:val="both"/>
    </w:pPr>
    <w:rPr>
      <w:szCs w:val="22"/>
      <w:lang w:eastAsia="en-GB"/>
    </w:rPr>
  </w:style>
  <w:style w:type="paragraph" w:styleId="Tekstpodstawowy3">
    <w:name w:val="Body Text 3"/>
    <w:basedOn w:val="Normalny"/>
    <w:pPr>
      <w:tabs>
        <w:tab w:val="clear" w:pos="567"/>
      </w:tabs>
      <w:autoSpaceDE w:val="0"/>
      <w:autoSpaceDN w:val="0"/>
      <w:adjustRightInd w:val="0"/>
      <w:spacing w:line="240" w:lineRule="auto"/>
      <w:jc w:val="both"/>
    </w:pPr>
    <w:rPr>
      <w:color w:val="0000FF"/>
      <w:szCs w:val="22"/>
      <w:lang w:eastAsia="en-GB"/>
    </w:rPr>
  </w:style>
  <w:style w:type="paragraph" w:styleId="Tekstpodstawowywcity2">
    <w:name w:val="Body Text Indent 2"/>
    <w:basedOn w:val="Norma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Tekstpodstawowy">
    <w:name w:val="Body Text"/>
    <w:basedOn w:val="Normalny"/>
    <w:pPr>
      <w:tabs>
        <w:tab w:val="clear" w:pos="567"/>
      </w:tabs>
      <w:spacing w:line="240" w:lineRule="auto"/>
    </w:pPr>
    <w:rPr>
      <w:i/>
      <w:color w:val="008000"/>
    </w:rPr>
  </w:style>
  <w:style w:type="paragraph" w:styleId="Tekstpodstawowy2">
    <w:name w:val="Body Text 2"/>
    <w:basedOn w:val="Norma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woaniedokomentarza">
    <w:name w:val="annotation reference"/>
    <w:semiHidden/>
    <w:rPr>
      <w:sz w:val="16"/>
      <w:szCs w:val="16"/>
    </w:rPr>
  </w:style>
  <w:style w:type="paragraph" w:styleId="Tekstkomentarza">
    <w:name w:val="annotation text"/>
    <w:basedOn w:val="Normalny"/>
    <w:semiHidden/>
    <w:rPr>
      <w:sz w:val="20"/>
    </w:rPr>
  </w:style>
  <w:style w:type="paragraph" w:customStyle="1" w:styleId="EMEAEnBodyText">
    <w:name w:val="EMEA En Body Text"/>
    <w:basedOn w:val="Normalny"/>
    <w:pPr>
      <w:tabs>
        <w:tab w:val="clear" w:pos="567"/>
      </w:tabs>
      <w:spacing w:before="120" w:after="120" w:line="240" w:lineRule="auto"/>
      <w:jc w:val="both"/>
    </w:pPr>
    <w:rPr>
      <w:lang w:val="en-US"/>
    </w:rPr>
  </w:style>
  <w:style w:type="paragraph" w:styleId="Mapadokumentu">
    <w:name w:val="Document Map"/>
    <w:basedOn w:val="Normalny"/>
    <w:semiHidden/>
    <w:pPr>
      <w:shd w:val="clear" w:color="auto" w:fill="000080"/>
    </w:pPr>
    <w:rPr>
      <w:rFonts w:ascii="Tahoma" w:hAnsi="Tahoma" w:cs="Tahoma"/>
    </w:rPr>
  </w:style>
  <w:style w:type="character" w:styleId="Hipercze">
    <w:name w:val="Hyperlink"/>
    <w:rPr>
      <w:color w:val="0000FF"/>
      <w:u w:val="single"/>
    </w:rPr>
  </w:style>
  <w:style w:type="paragraph" w:customStyle="1" w:styleId="AHeader1">
    <w:name w:val="AHeader 1"/>
    <w:basedOn w:val="Normalny"/>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Tekstpodstawowywcity3">
    <w:name w:val="Body Text Indent 3"/>
    <w:basedOn w:val="Normalny"/>
    <w:pPr>
      <w:tabs>
        <w:tab w:val="left" w:pos="1134"/>
      </w:tabs>
      <w:autoSpaceDE w:val="0"/>
      <w:autoSpaceDN w:val="0"/>
      <w:adjustRightInd w:val="0"/>
      <w:ind w:left="633"/>
      <w:jc w:val="both"/>
    </w:pPr>
    <w:rPr>
      <w:szCs w:val="21"/>
    </w:rPr>
  </w:style>
  <w:style w:type="character" w:styleId="UyteHipercze">
    <w:name w:val="FollowedHyperlink"/>
    <w:rPr>
      <w:color w:val="800080"/>
      <w:u w:val="single"/>
    </w:rPr>
  </w:style>
  <w:style w:type="paragraph" w:customStyle="1" w:styleId="Default">
    <w:name w:val="Default"/>
    <w:pPr>
      <w:autoSpaceDE w:val="0"/>
      <w:autoSpaceDN w:val="0"/>
      <w:adjustRightInd w:val="0"/>
    </w:pPr>
  </w:style>
  <w:style w:type="paragraph" w:styleId="Tekstdymka">
    <w:name w:val="Balloon Text"/>
    <w:basedOn w:val="Normalny"/>
    <w:semiHidden/>
    <w:rPr>
      <w:rFonts w:ascii="Tahoma" w:hAnsi="Tahoma" w:cs="Tahoma"/>
      <w:sz w:val="16"/>
      <w:szCs w:val="16"/>
    </w:rPr>
  </w:style>
  <w:style w:type="paragraph" w:styleId="Tematkomentarza">
    <w:name w:val="annotation subject"/>
    <w:basedOn w:val="Tekstkomentarza"/>
    <w:next w:val="Tekstkomentarza"/>
    <w:semiHidden/>
    <w:rsid w:val="00C53ACC"/>
    <w:rPr>
      <w:b/>
      <w:bCs/>
    </w:rPr>
  </w:style>
  <w:style w:type="paragraph" w:customStyle="1" w:styleId="BodytextAgency">
    <w:name w:val="Body text (Agency)"/>
    <w:basedOn w:val="Normalny"/>
    <w:link w:val="BodytextAgencyChar"/>
    <w:rsid w:val="00F00876"/>
    <w:pPr>
      <w:tabs>
        <w:tab w:val="clear" w:pos="567"/>
      </w:tabs>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F00876"/>
    <w:rPr>
      <w:rFonts w:ascii="Verdana" w:eastAsia="Verdana" w:hAnsi="Verdana" w:cs="Verdana"/>
      <w:sz w:val="18"/>
      <w:szCs w:val="18"/>
    </w:rPr>
  </w:style>
  <w:style w:type="character" w:customStyle="1" w:styleId="StopkaZnak">
    <w:name w:val="Stopka Znak"/>
    <w:link w:val="Stopka"/>
    <w:uiPriority w:val="99"/>
    <w:rsid w:val="00C32E02"/>
    <w:rPr>
      <w:rFonts w:ascii="Helvetica" w:hAnsi="Helvetica"/>
      <w:sz w:val="16"/>
      <w:lang w:val="en-GB" w:eastAsia="en-US"/>
    </w:rPr>
  </w:style>
  <w:style w:type="character" w:customStyle="1" w:styleId="hps">
    <w:name w:val="hps"/>
    <w:rsid w:val="00994A45"/>
  </w:style>
  <w:style w:type="table" w:styleId="Tabela-Siatka">
    <w:name w:val="Table Grid"/>
    <w:basedOn w:val="Standardowy"/>
    <w:rsid w:val="00792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C518A9"/>
  </w:style>
  <w:style w:type="character" w:customStyle="1" w:styleId="atn">
    <w:name w:val="atn"/>
    <w:rsid w:val="00FA4B66"/>
  </w:style>
  <w:style w:type="paragraph" w:styleId="Poprawka">
    <w:name w:val="Revision"/>
    <w:hidden/>
    <w:uiPriority w:val="99"/>
    <w:semiHidden/>
    <w:rsid w:val="00A74C90"/>
    <w:rPr>
      <w:sz w:val="22"/>
      <w:lang w:val="en-GB"/>
    </w:rPr>
  </w:style>
  <w:style w:type="character" w:customStyle="1" w:styleId="paragraph">
    <w:name w:val="paragraph"/>
    <w:rsid w:val="00A36344"/>
  </w:style>
  <w:style w:type="character" w:customStyle="1" w:styleId="sac">
    <w:name w:val="sac"/>
    <w:rsid w:val="00453823"/>
  </w:style>
  <w:style w:type="character" w:customStyle="1" w:styleId="alt-edited">
    <w:name w:val="alt-edited"/>
    <w:rsid w:val="00FC0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5108">
      <w:bodyDiv w:val="1"/>
      <w:marLeft w:val="0"/>
      <w:marRight w:val="0"/>
      <w:marTop w:val="0"/>
      <w:marBottom w:val="0"/>
      <w:divBdr>
        <w:top w:val="none" w:sz="0" w:space="0" w:color="auto"/>
        <w:left w:val="none" w:sz="0" w:space="0" w:color="auto"/>
        <w:bottom w:val="none" w:sz="0" w:space="0" w:color="auto"/>
        <w:right w:val="none" w:sz="0" w:space="0" w:color="auto"/>
      </w:divBdr>
      <w:divsChild>
        <w:div w:id="190647844">
          <w:marLeft w:val="0"/>
          <w:marRight w:val="0"/>
          <w:marTop w:val="0"/>
          <w:marBottom w:val="0"/>
          <w:divBdr>
            <w:top w:val="none" w:sz="0" w:space="0" w:color="auto"/>
            <w:left w:val="none" w:sz="0" w:space="0" w:color="auto"/>
            <w:bottom w:val="none" w:sz="0" w:space="0" w:color="auto"/>
            <w:right w:val="none" w:sz="0" w:space="0" w:color="auto"/>
          </w:divBdr>
        </w:div>
        <w:div w:id="337119207">
          <w:marLeft w:val="0"/>
          <w:marRight w:val="0"/>
          <w:marTop w:val="0"/>
          <w:marBottom w:val="0"/>
          <w:divBdr>
            <w:top w:val="none" w:sz="0" w:space="0" w:color="auto"/>
            <w:left w:val="none" w:sz="0" w:space="0" w:color="auto"/>
            <w:bottom w:val="none" w:sz="0" w:space="0" w:color="auto"/>
            <w:right w:val="none" w:sz="0" w:space="0" w:color="auto"/>
          </w:divBdr>
        </w:div>
        <w:div w:id="472914000">
          <w:marLeft w:val="0"/>
          <w:marRight w:val="0"/>
          <w:marTop w:val="0"/>
          <w:marBottom w:val="0"/>
          <w:divBdr>
            <w:top w:val="none" w:sz="0" w:space="0" w:color="auto"/>
            <w:left w:val="none" w:sz="0" w:space="0" w:color="auto"/>
            <w:bottom w:val="none" w:sz="0" w:space="0" w:color="auto"/>
            <w:right w:val="none" w:sz="0" w:space="0" w:color="auto"/>
          </w:divBdr>
        </w:div>
        <w:div w:id="1085495849">
          <w:marLeft w:val="0"/>
          <w:marRight w:val="0"/>
          <w:marTop w:val="0"/>
          <w:marBottom w:val="0"/>
          <w:divBdr>
            <w:top w:val="none" w:sz="0" w:space="0" w:color="auto"/>
            <w:left w:val="none" w:sz="0" w:space="0" w:color="auto"/>
            <w:bottom w:val="none" w:sz="0" w:space="0" w:color="auto"/>
            <w:right w:val="none" w:sz="0" w:space="0" w:color="auto"/>
          </w:divBdr>
        </w:div>
        <w:div w:id="1359163649">
          <w:marLeft w:val="0"/>
          <w:marRight w:val="0"/>
          <w:marTop w:val="0"/>
          <w:marBottom w:val="0"/>
          <w:divBdr>
            <w:top w:val="none" w:sz="0" w:space="0" w:color="auto"/>
            <w:left w:val="none" w:sz="0" w:space="0" w:color="auto"/>
            <w:bottom w:val="none" w:sz="0" w:space="0" w:color="auto"/>
            <w:right w:val="none" w:sz="0" w:space="0" w:color="auto"/>
          </w:divBdr>
        </w:div>
      </w:divsChild>
    </w:div>
    <w:div w:id="69550013">
      <w:bodyDiv w:val="1"/>
      <w:marLeft w:val="0"/>
      <w:marRight w:val="0"/>
      <w:marTop w:val="0"/>
      <w:marBottom w:val="0"/>
      <w:divBdr>
        <w:top w:val="none" w:sz="0" w:space="0" w:color="auto"/>
        <w:left w:val="none" w:sz="0" w:space="0" w:color="auto"/>
        <w:bottom w:val="none" w:sz="0" w:space="0" w:color="auto"/>
        <w:right w:val="none" w:sz="0" w:space="0" w:color="auto"/>
      </w:divBdr>
      <w:divsChild>
        <w:div w:id="992955019">
          <w:marLeft w:val="0"/>
          <w:marRight w:val="0"/>
          <w:marTop w:val="0"/>
          <w:marBottom w:val="0"/>
          <w:divBdr>
            <w:top w:val="none" w:sz="0" w:space="0" w:color="auto"/>
            <w:left w:val="none" w:sz="0" w:space="0" w:color="auto"/>
            <w:bottom w:val="none" w:sz="0" w:space="0" w:color="auto"/>
            <w:right w:val="none" w:sz="0" w:space="0" w:color="auto"/>
          </w:divBdr>
        </w:div>
        <w:div w:id="1575313004">
          <w:marLeft w:val="0"/>
          <w:marRight w:val="0"/>
          <w:marTop w:val="0"/>
          <w:marBottom w:val="0"/>
          <w:divBdr>
            <w:top w:val="none" w:sz="0" w:space="0" w:color="auto"/>
            <w:left w:val="none" w:sz="0" w:space="0" w:color="auto"/>
            <w:bottom w:val="none" w:sz="0" w:space="0" w:color="auto"/>
            <w:right w:val="none" w:sz="0" w:space="0" w:color="auto"/>
          </w:divBdr>
        </w:div>
        <w:div w:id="1730303059">
          <w:marLeft w:val="0"/>
          <w:marRight w:val="0"/>
          <w:marTop w:val="0"/>
          <w:marBottom w:val="0"/>
          <w:divBdr>
            <w:top w:val="none" w:sz="0" w:space="0" w:color="auto"/>
            <w:left w:val="none" w:sz="0" w:space="0" w:color="auto"/>
            <w:bottom w:val="none" w:sz="0" w:space="0" w:color="auto"/>
            <w:right w:val="none" w:sz="0" w:space="0" w:color="auto"/>
          </w:divBdr>
        </w:div>
        <w:div w:id="1772167809">
          <w:marLeft w:val="0"/>
          <w:marRight w:val="0"/>
          <w:marTop w:val="0"/>
          <w:marBottom w:val="0"/>
          <w:divBdr>
            <w:top w:val="none" w:sz="0" w:space="0" w:color="auto"/>
            <w:left w:val="none" w:sz="0" w:space="0" w:color="auto"/>
            <w:bottom w:val="none" w:sz="0" w:space="0" w:color="auto"/>
            <w:right w:val="none" w:sz="0" w:space="0" w:color="auto"/>
          </w:divBdr>
        </w:div>
      </w:divsChild>
    </w:div>
    <w:div w:id="127629920">
      <w:bodyDiv w:val="1"/>
      <w:marLeft w:val="0"/>
      <w:marRight w:val="0"/>
      <w:marTop w:val="0"/>
      <w:marBottom w:val="0"/>
      <w:divBdr>
        <w:top w:val="none" w:sz="0" w:space="0" w:color="auto"/>
        <w:left w:val="none" w:sz="0" w:space="0" w:color="auto"/>
        <w:bottom w:val="none" w:sz="0" w:space="0" w:color="auto"/>
        <w:right w:val="none" w:sz="0" w:space="0" w:color="auto"/>
      </w:divBdr>
      <w:divsChild>
        <w:div w:id="68313831">
          <w:marLeft w:val="0"/>
          <w:marRight w:val="0"/>
          <w:marTop w:val="0"/>
          <w:marBottom w:val="0"/>
          <w:divBdr>
            <w:top w:val="none" w:sz="0" w:space="0" w:color="auto"/>
            <w:left w:val="none" w:sz="0" w:space="0" w:color="auto"/>
            <w:bottom w:val="none" w:sz="0" w:space="0" w:color="auto"/>
            <w:right w:val="none" w:sz="0" w:space="0" w:color="auto"/>
          </w:divBdr>
        </w:div>
        <w:div w:id="75320421">
          <w:marLeft w:val="0"/>
          <w:marRight w:val="0"/>
          <w:marTop w:val="0"/>
          <w:marBottom w:val="0"/>
          <w:divBdr>
            <w:top w:val="none" w:sz="0" w:space="0" w:color="auto"/>
            <w:left w:val="none" w:sz="0" w:space="0" w:color="auto"/>
            <w:bottom w:val="none" w:sz="0" w:space="0" w:color="auto"/>
            <w:right w:val="none" w:sz="0" w:space="0" w:color="auto"/>
          </w:divBdr>
        </w:div>
        <w:div w:id="127284877">
          <w:marLeft w:val="0"/>
          <w:marRight w:val="0"/>
          <w:marTop w:val="0"/>
          <w:marBottom w:val="0"/>
          <w:divBdr>
            <w:top w:val="none" w:sz="0" w:space="0" w:color="auto"/>
            <w:left w:val="none" w:sz="0" w:space="0" w:color="auto"/>
            <w:bottom w:val="none" w:sz="0" w:space="0" w:color="auto"/>
            <w:right w:val="none" w:sz="0" w:space="0" w:color="auto"/>
          </w:divBdr>
        </w:div>
        <w:div w:id="275606226">
          <w:marLeft w:val="0"/>
          <w:marRight w:val="0"/>
          <w:marTop w:val="0"/>
          <w:marBottom w:val="0"/>
          <w:divBdr>
            <w:top w:val="none" w:sz="0" w:space="0" w:color="auto"/>
            <w:left w:val="none" w:sz="0" w:space="0" w:color="auto"/>
            <w:bottom w:val="none" w:sz="0" w:space="0" w:color="auto"/>
            <w:right w:val="none" w:sz="0" w:space="0" w:color="auto"/>
          </w:divBdr>
        </w:div>
        <w:div w:id="291250772">
          <w:marLeft w:val="0"/>
          <w:marRight w:val="0"/>
          <w:marTop w:val="0"/>
          <w:marBottom w:val="0"/>
          <w:divBdr>
            <w:top w:val="none" w:sz="0" w:space="0" w:color="auto"/>
            <w:left w:val="none" w:sz="0" w:space="0" w:color="auto"/>
            <w:bottom w:val="none" w:sz="0" w:space="0" w:color="auto"/>
            <w:right w:val="none" w:sz="0" w:space="0" w:color="auto"/>
          </w:divBdr>
        </w:div>
        <w:div w:id="339549141">
          <w:marLeft w:val="0"/>
          <w:marRight w:val="0"/>
          <w:marTop w:val="0"/>
          <w:marBottom w:val="0"/>
          <w:divBdr>
            <w:top w:val="none" w:sz="0" w:space="0" w:color="auto"/>
            <w:left w:val="none" w:sz="0" w:space="0" w:color="auto"/>
            <w:bottom w:val="none" w:sz="0" w:space="0" w:color="auto"/>
            <w:right w:val="none" w:sz="0" w:space="0" w:color="auto"/>
          </w:divBdr>
        </w:div>
        <w:div w:id="407773313">
          <w:marLeft w:val="0"/>
          <w:marRight w:val="0"/>
          <w:marTop w:val="0"/>
          <w:marBottom w:val="0"/>
          <w:divBdr>
            <w:top w:val="none" w:sz="0" w:space="0" w:color="auto"/>
            <w:left w:val="none" w:sz="0" w:space="0" w:color="auto"/>
            <w:bottom w:val="none" w:sz="0" w:space="0" w:color="auto"/>
            <w:right w:val="none" w:sz="0" w:space="0" w:color="auto"/>
          </w:divBdr>
        </w:div>
        <w:div w:id="410271535">
          <w:marLeft w:val="0"/>
          <w:marRight w:val="0"/>
          <w:marTop w:val="0"/>
          <w:marBottom w:val="0"/>
          <w:divBdr>
            <w:top w:val="none" w:sz="0" w:space="0" w:color="auto"/>
            <w:left w:val="none" w:sz="0" w:space="0" w:color="auto"/>
            <w:bottom w:val="none" w:sz="0" w:space="0" w:color="auto"/>
            <w:right w:val="none" w:sz="0" w:space="0" w:color="auto"/>
          </w:divBdr>
        </w:div>
        <w:div w:id="442657036">
          <w:marLeft w:val="0"/>
          <w:marRight w:val="0"/>
          <w:marTop w:val="0"/>
          <w:marBottom w:val="0"/>
          <w:divBdr>
            <w:top w:val="none" w:sz="0" w:space="0" w:color="auto"/>
            <w:left w:val="none" w:sz="0" w:space="0" w:color="auto"/>
            <w:bottom w:val="none" w:sz="0" w:space="0" w:color="auto"/>
            <w:right w:val="none" w:sz="0" w:space="0" w:color="auto"/>
          </w:divBdr>
        </w:div>
        <w:div w:id="463619953">
          <w:marLeft w:val="0"/>
          <w:marRight w:val="0"/>
          <w:marTop w:val="0"/>
          <w:marBottom w:val="0"/>
          <w:divBdr>
            <w:top w:val="none" w:sz="0" w:space="0" w:color="auto"/>
            <w:left w:val="none" w:sz="0" w:space="0" w:color="auto"/>
            <w:bottom w:val="none" w:sz="0" w:space="0" w:color="auto"/>
            <w:right w:val="none" w:sz="0" w:space="0" w:color="auto"/>
          </w:divBdr>
        </w:div>
        <w:div w:id="477115487">
          <w:marLeft w:val="0"/>
          <w:marRight w:val="0"/>
          <w:marTop w:val="0"/>
          <w:marBottom w:val="0"/>
          <w:divBdr>
            <w:top w:val="none" w:sz="0" w:space="0" w:color="auto"/>
            <w:left w:val="none" w:sz="0" w:space="0" w:color="auto"/>
            <w:bottom w:val="none" w:sz="0" w:space="0" w:color="auto"/>
            <w:right w:val="none" w:sz="0" w:space="0" w:color="auto"/>
          </w:divBdr>
        </w:div>
        <w:div w:id="546720883">
          <w:marLeft w:val="0"/>
          <w:marRight w:val="0"/>
          <w:marTop w:val="0"/>
          <w:marBottom w:val="0"/>
          <w:divBdr>
            <w:top w:val="none" w:sz="0" w:space="0" w:color="auto"/>
            <w:left w:val="none" w:sz="0" w:space="0" w:color="auto"/>
            <w:bottom w:val="none" w:sz="0" w:space="0" w:color="auto"/>
            <w:right w:val="none" w:sz="0" w:space="0" w:color="auto"/>
          </w:divBdr>
        </w:div>
        <w:div w:id="736977360">
          <w:marLeft w:val="0"/>
          <w:marRight w:val="0"/>
          <w:marTop w:val="0"/>
          <w:marBottom w:val="0"/>
          <w:divBdr>
            <w:top w:val="none" w:sz="0" w:space="0" w:color="auto"/>
            <w:left w:val="none" w:sz="0" w:space="0" w:color="auto"/>
            <w:bottom w:val="none" w:sz="0" w:space="0" w:color="auto"/>
            <w:right w:val="none" w:sz="0" w:space="0" w:color="auto"/>
          </w:divBdr>
        </w:div>
        <w:div w:id="890463665">
          <w:marLeft w:val="0"/>
          <w:marRight w:val="0"/>
          <w:marTop w:val="0"/>
          <w:marBottom w:val="0"/>
          <w:divBdr>
            <w:top w:val="none" w:sz="0" w:space="0" w:color="auto"/>
            <w:left w:val="none" w:sz="0" w:space="0" w:color="auto"/>
            <w:bottom w:val="none" w:sz="0" w:space="0" w:color="auto"/>
            <w:right w:val="none" w:sz="0" w:space="0" w:color="auto"/>
          </w:divBdr>
        </w:div>
        <w:div w:id="908536970">
          <w:marLeft w:val="0"/>
          <w:marRight w:val="0"/>
          <w:marTop w:val="0"/>
          <w:marBottom w:val="0"/>
          <w:divBdr>
            <w:top w:val="none" w:sz="0" w:space="0" w:color="auto"/>
            <w:left w:val="none" w:sz="0" w:space="0" w:color="auto"/>
            <w:bottom w:val="none" w:sz="0" w:space="0" w:color="auto"/>
            <w:right w:val="none" w:sz="0" w:space="0" w:color="auto"/>
          </w:divBdr>
        </w:div>
        <w:div w:id="955067885">
          <w:marLeft w:val="0"/>
          <w:marRight w:val="0"/>
          <w:marTop w:val="0"/>
          <w:marBottom w:val="0"/>
          <w:divBdr>
            <w:top w:val="none" w:sz="0" w:space="0" w:color="auto"/>
            <w:left w:val="none" w:sz="0" w:space="0" w:color="auto"/>
            <w:bottom w:val="none" w:sz="0" w:space="0" w:color="auto"/>
            <w:right w:val="none" w:sz="0" w:space="0" w:color="auto"/>
          </w:divBdr>
        </w:div>
        <w:div w:id="1270695224">
          <w:marLeft w:val="0"/>
          <w:marRight w:val="0"/>
          <w:marTop w:val="0"/>
          <w:marBottom w:val="0"/>
          <w:divBdr>
            <w:top w:val="none" w:sz="0" w:space="0" w:color="auto"/>
            <w:left w:val="none" w:sz="0" w:space="0" w:color="auto"/>
            <w:bottom w:val="none" w:sz="0" w:space="0" w:color="auto"/>
            <w:right w:val="none" w:sz="0" w:space="0" w:color="auto"/>
          </w:divBdr>
        </w:div>
        <w:div w:id="1303541230">
          <w:marLeft w:val="0"/>
          <w:marRight w:val="0"/>
          <w:marTop w:val="0"/>
          <w:marBottom w:val="0"/>
          <w:divBdr>
            <w:top w:val="none" w:sz="0" w:space="0" w:color="auto"/>
            <w:left w:val="none" w:sz="0" w:space="0" w:color="auto"/>
            <w:bottom w:val="none" w:sz="0" w:space="0" w:color="auto"/>
            <w:right w:val="none" w:sz="0" w:space="0" w:color="auto"/>
          </w:divBdr>
        </w:div>
        <w:div w:id="1304849696">
          <w:marLeft w:val="0"/>
          <w:marRight w:val="0"/>
          <w:marTop w:val="0"/>
          <w:marBottom w:val="0"/>
          <w:divBdr>
            <w:top w:val="none" w:sz="0" w:space="0" w:color="auto"/>
            <w:left w:val="none" w:sz="0" w:space="0" w:color="auto"/>
            <w:bottom w:val="none" w:sz="0" w:space="0" w:color="auto"/>
            <w:right w:val="none" w:sz="0" w:space="0" w:color="auto"/>
          </w:divBdr>
        </w:div>
        <w:div w:id="1413352155">
          <w:marLeft w:val="0"/>
          <w:marRight w:val="0"/>
          <w:marTop w:val="0"/>
          <w:marBottom w:val="0"/>
          <w:divBdr>
            <w:top w:val="none" w:sz="0" w:space="0" w:color="auto"/>
            <w:left w:val="none" w:sz="0" w:space="0" w:color="auto"/>
            <w:bottom w:val="none" w:sz="0" w:space="0" w:color="auto"/>
            <w:right w:val="none" w:sz="0" w:space="0" w:color="auto"/>
          </w:divBdr>
        </w:div>
        <w:div w:id="1651128499">
          <w:marLeft w:val="0"/>
          <w:marRight w:val="0"/>
          <w:marTop w:val="0"/>
          <w:marBottom w:val="0"/>
          <w:divBdr>
            <w:top w:val="none" w:sz="0" w:space="0" w:color="auto"/>
            <w:left w:val="none" w:sz="0" w:space="0" w:color="auto"/>
            <w:bottom w:val="none" w:sz="0" w:space="0" w:color="auto"/>
            <w:right w:val="none" w:sz="0" w:space="0" w:color="auto"/>
          </w:divBdr>
        </w:div>
        <w:div w:id="1685132224">
          <w:marLeft w:val="0"/>
          <w:marRight w:val="0"/>
          <w:marTop w:val="0"/>
          <w:marBottom w:val="0"/>
          <w:divBdr>
            <w:top w:val="none" w:sz="0" w:space="0" w:color="auto"/>
            <w:left w:val="none" w:sz="0" w:space="0" w:color="auto"/>
            <w:bottom w:val="none" w:sz="0" w:space="0" w:color="auto"/>
            <w:right w:val="none" w:sz="0" w:space="0" w:color="auto"/>
          </w:divBdr>
        </w:div>
        <w:div w:id="1691756690">
          <w:marLeft w:val="0"/>
          <w:marRight w:val="0"/>
          <w:marTop w:val="0"/>
          <w:marBottom w:val="0"/>
          <w:divBdr>
            <w:top w:val="none" w:sz="0" w:space="0" w:color="auto"/>
            <w:left w:val="none" w:sz="0" w:space="0" w:color="auto"/>
            <w:bottom w:val="none" w:sz="0" w:space="0" w:color="auto"/>
            <w:right w:val="none" w:sz="0" w:space="0" w:color="auto"/>
          </w:divBdr>
        </w:div>
        <w:div w:id="1814835337">
          <w:marLeft w:val="0"/>
          <w:marRight w:val="0"/>
          <w:marTop w:val="0"/>
          <w:marBottom w:val="0"/>
          <w:divBdr>
            <w:top w:val="none" w:sz="0" w:space="0" w:color="auto"/>
            <w:left w:val="none" w:sz="0" w:space="0" w:color="auto"/>
            <w:bottom w:val="none" w:sz="0" w:space="0" w:color="auto"/>
            <w:right w:val="none" w:sz="0" w:space="0" w:color="auto"/>
          </w:divBdr>
        </w:div>
        <w:div w:id="1848904426">
          <w:marLeft w:val="0"/>
          <w:marRight w:val="0"/>
          <w:marTop w:val="0"/>
          <w:marBottom w:val="0"/>
          <w:divBdr>
            <w:top w:val="none" w:sz="0" w:space="0" w:color="auto"/>
            <w:left w:val="none" w:sz="0" w:space="0" w:color="auto"/>
            <w:bottom w:val="none" w:sz="0" w:space="0" w:color="auto"/>
            <w:right w:val="none" w:sz="0" w:space="0" w:color="auto"/>
          </w:divBdr>
        </w:div>
        <w:div w:id="2064282442">
          <w:marLeft w:val="0"/>
          <w:marRight w:val="0"/>
          <w:marTop w:val="0"/>
          <w:marBottom w:val="0"/>
          <w:divBdr>
            <w:top w:val="none" w:sz="0" w:space="0" w:color="auto"/>
            <w:left w:val="none" w:sz="0" w:space="0" w:color="auto"/>
            <w:bottom w:val="none" w:sz="0" w:space="0" w:color="auto"/>
            <w:right w:val="none" w:sz="0" w:space="0" w:color="auto"/>
          </w:divBdr>
        </w:div>
        <w:div w:id="2107266571">
          <w:marLeft w:val="0"/>
          <w:marRight w:val="0"/>
          <w:marTop w:val="0"/>
          <w:marBottom w:val="0"/>
          <w:divBdr>
            <w:top w:val="none" w:sz="0" w:space="0" w:color="auto"/>
            <w:left w:val="none" w:sz="0" w:space="0" w:color="auto"/>
            <w:bottom w:val="none" w:sz="0" w:space="0" w:color="auto"/>
            <w:right w:val="none" w:sz="0" w:space="0" w:color="auto"/>
          </w:divBdr>
        </w:div>
      </w:divsChild>
    </w:div>
    <w:div w:id="264117796">
      <w:bodyDiv w:val="1"/>
      <w:marLeft w:val="0"/>
      <w:marRight w:val="0"/>
      <w:marTop w:val="0"/>
      <w:marBottom w:val="0"/>
      <w:divBdr>
        <w:top w:val="none" w:sz="0" w:space="0" w:color="auto"/>
        <w:left w:val="none" w:sz="0" w:space="0" w:color="auto"/>
        <w:bottom w:val="none" w:sz="0" w:space="0" w:color="auto"/>
        <w:right w:val="none" w:sz="0" w:space="0" w:color="auto"/>
      </w:divBdr>
      <w:divsChild>
        <w:div w:id="581254993">
          <w:marLeft w:val="0"/>
          <w:marRight w:val="0"/>
          <w:marTop w:val="0"/>
          <w:marBottom w:val="0"/>
          <w:divBdr>
            <w:top w:val="none" w:sz="0" w:space="0" w:color="auto"/>
            <w:left w:val="none" w:sz="0" w:space="0" w:color="auto"/>
            <w:bottom w:val="none" w:sz="0" w:space="0" w:color="auto"/>
            <w:right w:val="none" w:sz="0" w:space="0" w:color="auto"/>
          </w:divBdr>
        </w:div>
        <w:div w:id="971132112">
          <w:marLeft w:val="0"/>
          <w:marRight w:val="0"/>
          <w:marTop w:val="0"/>
          <w:marBottom w:val="0"/>
          <w:divBdr>
            <w:top w:val="none" w:sz="0" w:space="0" w:color="auto"/>
            <w:left w:val="none" w:sz="0" w:space="0" w:color="auto"/>
            <w:bottom w:val="none" w:sz="0" w:space="0" w:color="auto"/>
            <w:right w:val="none" w:sz="0" w:space="0" w:color="auto"/>
          </w:divBdr>
        </w:div>
        <w:div w:id="1142313943">
          <w:marLeft w:val="0"/>
          <w:marRight w:val="0"/>
          <w:marTop w:val="0"/>
          <w:marBottom w:val="0"/>
          <w:divBdr>
            <w:top w:val="none" w:sz="0" w:space="0" w:color="auto"/>
            <w:left w:val="none" w:sz="0" w:space="0" w:color="auto"/>
            <w:bottom w:val="none" w:sz="0" w:space="0" w:color="auto"/>
            <w:right w:val="none" w:sz="0" w:space="0" w:color="auto"/>
          </w:divBdr>
        </w:div>
        <w:div w:id="1293363665">
          <w:marLeft w:val="0"/>
          <w:marRight w:val="0"/>
          <w:marTop w:val="0"/>
          <w:marBottom w:val="0"/>
          <w:divBdr>
            <w:top w:val="none" w:sz="0" w:space="0" w:color="auto"/>
            <w:left w:val="none" w:sz="0" w:space="0" w:color="auto"/>
            <w:bottom w:val="none" w:sz="0" w:space="0" w:color="auto"/>
            <w:right w:val="none" w:sz="0" w:space="0" w:color="auto"/>
          </w:divBdr>
        </w:div>
        <w:div w:id="1366953635">
          <w:marLeft w:val="0"/>
          <w:marRight w:val="0"/>
          <w:marTop w:val="0"/>
          <w:marBottom w:val="0"/>
          <w:divBdr>
            <w:top w:val="none" w:sz="0" w:space="0" w:color="auto"/>
            <w:left w:val="none" w:sz="0" w:space="0" w:color="auto"/>
            <w:bottom w:val="none" w:sz="0" w:space="0" w:color="auto"/>
            <w:right w:val="none" w:sz="0" w:space="0" w:color="auto"/>
          </w:divBdr>
        </w:div>
        <w:div w:id="1685012266">
          <w:marLeft w:val="0"/>
          <w:marRight w:val="0"/>
          <w:marTop w:val="0"/>
          <w:marBottom w:val="0"/>
          <w:divBdr>
            <w:top w:val="none" w:sz="0" w:space="0" w:color="auto"/>
            <w:left w:val="none" w:sz="0" w:space="0" w:color="auto"/>
            <w:bottom w:val="none" w:sz="0" w:space="0" w:color="auto"/>
            <w:right w:val="none" w:sz="0" w:space="0" w:color="auto"/>
          </w:divBdr>
        </w:div>
        <w:div w:id="2106218524">
          <w:marLeft w:val="0"/>
          <w:marRight w:val="0"/>
          <w:marTop w:val="0"/>
          <w:marBottom w:val="0"/>
          <w:divBdr>
            <w:top w:val="none" w:sz="0" w:space="0" w:color="auto"/>
            <w:left w:val="none" w:sz="0" w:space="0" w:color="auto"/>
            <w:bottom w:val="none" w:sz="0" w:space="0" w:color="auto"/>
            <w:right w:val="none" w:sz="0" w:space="0" w:color="auto"/>
          </w:divBdr>
        </w:div>
      </w:divsChild>
    </w:div>
    <w:div w:id="312150153">
      <w:bodyDiv w:val="1"/>
      <w:marLeft w:val="0"/>
      <w:marRight w:val="0"/>
      <w:marTop w:val="0"/>
      <w:marBottom w:val="0"/>
      <w:divBdr>
        <w:top w:val="none" w:sz="0" w:space="0" w:color="auto"/>
        <w:left w:val="none" w:sz="0" w:space="0" w:color="auto"/>
        <w:bottom w:val="none" w:sz="0" w:space="0" w:color="auto"/>
        <w:right w:val="none" w:sz="0" w:space="0" w:color="auto"/>
      </w:divBdr>
      <w:divsChild>
        <w:div w:id="484471106">
          <w:marLeft w:val="0"/>
          <w:marRight w:val="0"/>
          <w:marTop w:val="0"/>
          <w:marBottom w:val="0"/>
          <w:divBdr>
            <w:top w:val="none" w:sz="0" w:space="0" w:color="auto"/>
            <w:left w:val="none" w:sz="0" w:space="0" w:color="auto"/>
            <w:bottom w:val="none" w:sz="0" w:space="0" w:color="auto"/>
            <w:right w:val="none" w:sz="0" w:space="0" w:color="auto"/>
          </w:divBdr>
        </w:div>
        <w:div w:id="541284991">
          <w:marLeft w:val="0"/>
          <w:marRight w:val="0"/>
          <w:marTop w:val="0"/>
          <w:marBottom w:val="0"/>
          <w:divBdr>
            <w:top w:val="none" w:sz="0" w:space="0" w:color="auto"/>
            <w:left w:val="none" w:sz="0" w:space="0" w:color="auto"/>
            <w:bottom w:val="none" w:sz="0" w:space="0" w:color="auto"/>
            <w:right w:val="none" w:sz="0" w:space="0" w:color="auto"/>
          </w:divBdr>
        </w:div>
        <w:div w:id="866335066">
          <w:marLeft w:val="0"/>
          <w:marRight w:val="0"/>
          <w:marTop w:val="0"/>
          <w:marBottom w:val="0"/>
          <w:divBdr>
            <w:top w:val="none" w:sz="0" w:space="0" w:color="auto"/>
            <w:left w:val="none" w:sz="0" w:space="0" w:color="auto"/>
            <w:bottom w:val="none" w:sz="0" w:space="0" w:color="auto"/>
            <w:right w:val="none" w:sz="0" w:space="0" w:color="auto"/>
          </w:divBdr>
        </w:div>
        <w:div w:id="1453943919">
          <w:marLeft w:val="0"/>
          <w:marRight w:val="0"/>
          <w:marTop w:val="0"/>
          <w:marBottom w:val="0"/>
          <w:divBdr>
            <w:top w:val="none" w:sz="0" w:space="0" w:color="auto"/>
            <w:left w:val="none" w:sz="0" w:space="0" w:color="auto"/>
            <w:bottom w:val="none" w:sz="0" w:space="0" w:color="auto"/>
            <w:right w:val="none" w:sz="0" w:space="0" w:color="auto"/>
          </w:divBdr>
        </w:div>
        <w:div w:id="1836607473">
          <w:marLeft w:val="0"/>
          <w:marRight w:val="0"/>
          <w:marTop w:val="0"/>
          <w:marBottom w:val="0"/>
          <w:divBdr>
            <w:top w:val="none" w:sz="0" w:space="0" w:color="auto"/>
            <w:left w:val="none" w:sz="0" w:space="0" w:color="auto"/>
            <w:bottom w:val="none" w:sz="0" w:space="0" w:color="auto"/>
            <w:right w:val="none" w:sz="0" w:space="0" w:color="auto"/>
          </w:divBdr>
        </w:div>
      </w:divsChild>
    </w:div>
    <w:div w:id="409279337">
      <w:bodyDiv w:val="1"/>
      <w:marLeft w:val="0"/>
      <w:marRight w:val="0"/>
      <w:marTop w:val="0"/>
      <w:marBottom w:val="0"/>
      <w:divBdr>
        <w:top w:val="none" w:sz="0" w:space="0" w:color="auto"/>
        <w:left w:val="none" w:sz="0" w:space="0" w:color="auto"/>
        <w:bottom w:val="none" w:sz="0" w:space="0" w:color="auto"/>
        <w:right w:val="none" w:sz="0" w:space="0" w:color="auto"/>
      </w:divBdr>
    </w:div>
    <w:div w:id="657227043">
      <w:bodyDiv w:val="1"/>
      <w:marLeft w:val="0"/>
      <w:marRight w:val="0"/>
      <w:marTop w:val="0"/>
      <w:marBottom w:val="0"/>
      <w:divBdr>
        <w:top w:val="none" w:sz="0" w:space="0" w:color="auto"/>
        <w:left w:val="none" w:sz="0" w:space="0" w:color="auto"/>
        <w:bottom w:val="none" w:sz="0" w:space="0" w:color="auto"/>
        <w:right w:val="none" w:sz="0" w:space="0" w:color="auto"/>
      </w:divBdr>
      <w:divsChild>
        <w:div w:id="335810462">
          <w:marLeft w:val="0"/>
          <w:marRight w:val="0"/>
          <w:marTop w:val="0"/>
          <w:marBottom w:val="0"/>
          <w:divBdr>
            <w:top w:val="none" w:sz="0" w:space="0" w:color="auto"/>
            <w:left w:val="none" w:sz="0" w:space="0" w:color="auto"/>
            <w:bottom w:val="none" w:sz="0" w:space="0" w:color="auto"/>
            <w:right w:val="none" w:sz="0" w:space="0" w:color="auto"/>
          </w:divBdr>
        </w:div>
        <w:div w:id="377053540">
          <w:marLeft w:val="0"/>
          <w:marRight w:val="0"/>
          <w:marTop w:val="0"/>
          <w:marBottom w:val="0"/>
          <w:divBdr>
            <w:top w:val="none" w:sz="0" w:space="0" w:color="auto"/>
            <w:left w:val="none" w:sz="0" w:space="0" w:color="auto"/>
            <w:bottom w:val="none" w:sz="0" w:space="0" w:color="auto"/>
            <w:right w:val="none" w:sz="0" w:space="0" w:color="auto"/>
          </w:divBdr>
        </w:div>
        <w:div w:id="1480882872">
          <w:marLeft w:val="0"/>
          <w:marRight w:val="0"/>
          <w:marTop w:val="0"/>
          <w:marBottom w:val="0"/>
          <w:divBdr>
            <w:top w:val="none" w:sz="0" w:space="0" w:color="auto"/>
            <w:left w:val="none" w:sz="0" w:space="0" w:color="auto"/>
            <w:bottom w:val="none" w:sz="0" w:space="0" w:color="auto"/>
            <w:right w:val="none" w:sz="0" w:space="0" w:color="auto"/>
          </w:divBdr>
        </w:div>
      </w:divsChild>
    </w:div>
    <w:div w:id="699937667">
      <w:bodyDiv w:val="1"/>
      <w:marLeft w:val="0"/>
      <w:marRight w:val="0"/>
      <w:marTop w:val="0"/>
      <w:marBottom w:val="0"/>
      <w:divBdr>
        <w:top w:val="none" w:sz="0" w:space="0" w:color="auto"/>
        <w:left w:val="none" w:sz="0" w:space="0" w:color="auto"/>
        <w:bottom w:val="none" w:sz="0" w:space="0" w:color="auto"/>
        <w:right w:val="none" w:sz="0" w:space="0" w:color="auto"/>
      </w:divBdr>
      <w:divsChild>
        <w:div w:id="1093206214">
          <w:marLeft w:val="0"/>
          <w:marRight w:val="0"/>
          <w:marTop w:val="0"/>
          <w:marBottom w:val="0"/>
          <w:divBdr>
            <w:top w:val="none" w:sz="0" w:space="0" w:color="auto"/>
            <w:left w:val="none" w:sz="0" w:space="0" w:color="auto"/>
            <w:bottom w:val="none" w:sz="0" w:space="0" w:color="auto"/>
            <w:right w:val="none" w:sz="0" w:space="0" w:color="auto"/>
          </w:divBdr>
        </w:div>
      </w:divsChild>
    </w:div>
    <w:div w:id="768235222">
      <w:bodyDiv w:val="1"/>
      <w:marLeft w:val="0"/>
      <w:marRight w:val="0"/>
      <w:marTop w:val="0"/>
      <w:marBottom w:val="0"/>
      <w:divBdr>
        <w:top w:val="none" w:sz="0" w:space="0" w:color="auto"/>
        <w:left w:val="none" w:sz="0" w:space="0" w:color="auto"/>
        <w:bottom w:val="none" w:sz="0" w:space="0" w:color="auto"/>
        <w:right w:val="none" w:sz="0" w:space="0" w:color="auto"/>
      </w:divBdr>
      <w:divsChild>
        <w:div w:id="553010022">
          <w:marLeft w:val="0"/>
          <w:marRight w:val="0"/>
          <w:marTop w:val="0"/>
          <w:marBottom w:val="0"/>
          <w:divBdr>
            <w:top w:val="none" w:sz="0" w:space="0" w:color="auto"/>
            <w:left w:val="none" w:sz="0" w:space="0" w:color="auto"/>
            <w:bottom w:val="none" w:sz="0" w:space="0" w:color="auto"/>
            <w:right w:val="none" w:sz="0" w:space="0" w:color="auto"/>
          </w:divBdr>
        </w:div>
        <w:div w:id="1089350371">
          <w:marLeft w:val="0"/>
          <w:marRight w:val="0"/>
          <w:marTop w:val="0"/>
          <w:marBottom w:val="0"/>
          <w:divBdr>
            <w:top w:val="none" w:sz="0" w:space="0" w:color="auto"/>
            <w:left w:val="none" w:sz="0" w:space="0" w:color="auto"/>
            <w:bottom w:val="none" w:sz="0" w:space="0" w:color="auto"/>
            <w:right w:val="none" w:sz="0" w:space="0" w:color="auto"/>
          </w:divBdr>
        </w:div>
        <w:div w:id="1338191594">
          <w:marLeft w:val="0"/>
          <w:marRight w:val="0"/>
          <w:marTop w:val="0"/>
          <w:marBottom w:val="0"/>
          <w:divBdr>
            <w:top w:val="none" w:sz="0" w:space="0" w:color="auto"/>
            <w:left w:val="none" w:sz="0" w:space="0" w:color="auto"/>
            <w:bottom w:val="none" w:sz="0" w:space="0" w:color="auto"/>
            <w:right w:val="none" w:sz="0" w:space="0" w:color="auto"/>
          </w:divBdr>
        </w:div>
        <w:div w:id="1443770291">
          <w:marLeft w:val="0"/>
          <w:marRight w:val="0"/>
          <w:marTop w:val="0"/>
          <w:marBottom w:val="0"/>
          <w:divBdr>
            <w:top w:val="none" w:sz="0" w:space="0" w:color="auto"/>
            <w:left w:val="none" w:sz="0" w:space="0" w:color="auto"/>
            <w:bottom w:val="none" w:sz="0" w:space="0" w:color="auto"/>
            <w:right w:val="none" w:sz="0" w:space="0" w:color="auto"/>
          </w:divBdr>
        </w:div>
        <w:div w:id="1537769339">
          <w:marLeft w:val="0"/>
          <w:marRight w:val="0"/>
          <w:marTop w:val="0"/>
          <w:marBottom w:val="0"/>
          <w:divBdr>
            <w:top w:val="none" w:sz="0" w:space="0" w:color="auto"/>
            <w:left w:val="none" w:sz="0" w:space="0" w:color="auto"/>
            <w:bottom w:val="none" w:sz="0" w:space="0" w:color="auto"/>
            <w:right w:val="none" w:sz="0" w:space="0" w:color="auto"/>
          </w:divBdr>
        </w:div>
        <w:div w:id="1812675406">
          <w:marLeft w:val="0"/>
          <w:marRight w:val="0"/>
          <w:marTop w:val="0"/>
          <w:marBottom w:val="0"/>
          <w:divBdr>
            <w:top w:val="none" w:sz="0" w:space="0" w:color="auto"/>
            <w:left w:val="none" w:sz="0" w:space="0" w:color="auto"/>
            <w:bottom w:val="none" w:sz="0" w:space="0" w:color="auto"/>
            <w:right w:val="none" w:sz="0" w:space="0" w:color="auto"/>
          </w:divBdr>
        </w:div>
      </w:divsChild>
    </w:div>
    <w:div w:id="822619300">
      <w:bodyDiv w:val="1"/>
      <w:marLeft w:val="0"/>
      <w:marRight w:val="0"/>
      <w:marTop w:val="0"/>
      <w:marBottom w:val="0"/>
      <w:divBdr>
        <w:top w:val="none" w:sz="0" w:space="0" w:color="auto"/>
        <w:left w:val="none" w:sz="0" w:space="0" w:color="auto"/>
        <w:bottom w:val="none" w:sz="0" w:space="0" w:color="auto"/>
        <w:right w:val="none" w:sz="0" w:space="0" w:color="auto"/>
      </w:divBdr>
      <w:divsChild>
        <w:div w:id="654838669">
          <w:marLeft w:val="0"/>
          <w:marRight w:val="0"/>
          <w:marTop w:val="0"/>
          <w:marBottom w:val="0"/>
          <w:divBdr>
            <w:top w:val="none" w:sz="0" w:space="0" w:color="auto"/>
            <w:left w:val="none" w:sz="0" w:space="0" w:color="auto"/>
            <w:bottom w:val="none" w:sz="0" w:space="0" w:color="auto"/>
            <w:right w:val="none" w:sz="0" w:space="0" w:color="auto"/>
          </w:divBdr>
        </w:div>
        <w:div w:id="848716696">
          <w:marLeft w:val="0"/>
          <w:marRight w:val="0"/>
          <w:marTop w:val="0"/>
          <w:marBottom w:val="0"/>
          <w:divBdr>
            <w:top w:val="none" w:sz="0" w:space="0" w:color="auto"/>
            <w:left w:val="none" w:sz="0" w:space="0" w:color="auto"/>
            <w:bottom w:val="none" w:sz="0" w:space="0" w:color="auto"/>
            <w:right w:val="none" w:sz="0" w:space="0" w:color="auto"/>
          </w:divBdr>
        </w:div>
        <w:div w:id="1028796162">
          <w:marLeft w:val="0"/>
          <w:marRight w:val="0"/>
          <w:marTop w:val="0"/>
          <w:marBottom w:val="0"/>
          <w:divBdr>
            <w:top w:val="none" w:sz="0" w:space="0" w:color="auto"/>
            <w:left w:val="none" w:sz="0" w:space="0" w:color="auto"/>
            <w:bottom w:val="none" w:sz="0" w:space="0" w:color="auto"/>
            <w:right w:val="none" w:sz="0" w:space="0" w:color="auto"/>
          </w:divBdr>
        </w:div>
        <w:div w:id="1053654204">
          <w:marLeft w:val="0"/>
          <w:marRight w:val="0"/>
          <w:marTop w:val="0"/>
          <w:marBottom w:val="0"/>
          <w:divBdr>
            <w:top w:val="none" w:sz="0" w:space="0" w:color="auto"/>
            <w:left w:val="none" w:sz="0" w:space="0" w:color="auto"/>
            <w:bottom w:val="none" w:sz="0" w:space="0" w:color="auto"/>
            <w:right w:val="none" w:sz="0" w:space="0" w:color="auto"/>
          </w:divBdr>
        </w:div>
        <w:div w:id="1057507371">
          <w:marLeft w:val="0"/>
          <w:marRight w:val="0"/>
          <w:marTop w:val="0"/>
          <w:marBottom w:val="0"/>
          <w:divBdr>
            <w:top w:val="none" w:sz="0" w:space="0" w:color="auto"/>
            <w:left w:val="none" w:sz="0" w:space="0" w:color="auto"/>
            <w:bottom w:val="none" w:sz="0" w:space="0" w:color="auto"/>
            <w:right w:val="none" w:sz="0" w:space="0" w:color="auto"/>
          </w:divBdr>
        </w:div>
        <w:div w:id="1069694412">
          <w:marLeft w:val="0"/>
          <w:marRight w:val="0"/>
          <w:marTop w:val="0"/>
          <w:marBottom w:val="0"/>
          <w:divBdr>
            <w:top w:val="none" w:sz="0" w:space="0" w:color="auto"/>
            <w:left w:val="none" w:sz="0" w:space="0" w:color="auto"/>
            <w:bottom w:val="none" w:sz="0" w:space="0" w:color="auto"/>
            <w:right w:val="none" w:sz="0" w:space="0" w:color="auto"/>
          </w:divBdr>
        </w:div>
        <w:div w:id="1363943261">
          <w:marLeft w:val="0"/>
          <w:marRight w:val="0"/>
          <w:marTop w:val="0"/>
          <w:marBottom w:val="0"/>
          <w:divBdr>
            <w:top w:val="none" w:sz="0" w:space="0" w:color="auto"/>
            <w:left w:val="none" w:sz="0" w:space="0" w:color="auto"/>
            <w:bottom w:val="none" w:sz="0" w:space="0" w:color="auto"/>
            <w:right w:val="none" w:sz="0" w:space="0" w:color="auto"/>
          </w:divBdr>
        </w:div>
        <w:div w:id="1519661858">
          <w:marLeft w:val="0"/>
          <w:marRight w:val="0"/>
          <w:marTop w:val="0"/>
          <w:marBottom w:val="0"/>
          <w:divBdr>
            <w:top w:val="none" w:sz="0" w:space="0" w:color="auto"/>
            <w:left w:val="none" w:sz="0" w:space="0" w:color="auto"/>
            <w:bottom w:val="none" w:sz="0" w:space="0" w:color="auto"/>
            <w:right w:val="none" w:sz="0" w:space="0" w:color="auto"/>
          </w:divBdr>
        </w:div>
        <w:div w:id="1572619057">
          <w:marLeft w:val="0"/>
          <w:marRight w:val="0"/>
          <w:marTop w:val="0"/>
          <w:marBottom w:val="0"/>
          <w:divBdr>
            <w:top w:val="none" w:sz="0" w:space="0" w:color="auto"/>
            <w:left w:val="none" w:sz="0" w:space="0" w:color="auto"/>
            <w:bottom w:val="none" w:sz="0" w:space="0" w:color="auto"/>
            <w:right w:val="none" w:sz="0" w:space="0" w:color="auto"/>
          </w:divBdr>
        </w:div>
        <w:div w:id="1573854919">
          <w:marLeft w:val="0"/>
          <w:marRight w:val="0"/>
          <w:marTop w:val="0"/>
          <w:marBottom w:val="0"/>
          <w:divBdr>
            <w:top w:val="none" w:sz="0" w:space="0" w:color="auto"/>
            <w:left w:val="none" w:sz="0" w:space="0" w:color="auto"/>
            <w:bottom w:val="none" w:sz="0" w:space="0" w:color="auto"/>
            <w:right w:val="none" w:sz="0" w:space="0" w:color="auto"/>
          </w:divBdr>
        </w:div>
        <w:div w:id="1665354482">
          <w:marLeft w:val="0"/>
          <w:marRight w:val="0"/>
          <w:marTop w:val="0"/>
          <w:marBottom w:val="0"/>
          <w:divBdr>
            <w:top w:val="none" w:sz="0" w:space="0" w:color="auto"/>
            <w:left w:val="none" w:sz="0" w:space="0" w:color="auto"/>
            <w:bottom w:val="none" w:sz="0" w:space="0" w:color="auto"/>
            <w:right w:val="none" w:sz="0" w:space="0" w:color="auto"/>
          </w:divBdr>
        </w:div>
        <w:div w:id="1801917632">
          <w:marLeft w:val="0"/>
          <w:marRight w:val="0"/>
          <w:marTop w:val="0"/>
          <w:marBottom w:val="0"/>
          <w:divBdr>
            <w:top w:val="none" w:sz="0" w:space="0" w:color="auto"/>
            <w:left w:val="none" w:sz="0" w:space="0" w:color="auto"/>
            <w:bottom w:val="none" w:sz="0" w:space="0" w:color="auto"/>
            <w:right w:val="none" w:sz="0" w:space="0" w:color="auto"/>
          </w:divBdr>
        </w:div>
      </w:divsChild>
    </w:div>
    <w:div w:id="1349335264">
      <w:bodyDiv w:val="1"/>
      <w:marLeft w:val="0"/>
      <w:marRight w:val="0"/>
      <w:marTop w:val="0"/>
      <w:marBottom w:val="0"/>
      <w:divBdr>
        <w:top w:val="none" w:sz="0" w:space="0" w:color="auto"/>
        <w:left w:val="none" w:sz="0" w:space="0" w:color="auto"/>
        <w:bottom w:val="none" w:sz="0" w:space="0" w:color="auto"/>
        <w:right w:val="none" w:sz="0" w:space="0" w:color="auto"/>
      </w:divBdr>
      <w:divsChild>
        <w:div w:id="61606611">
          <w:marLeft w:val="0"/>
          <w:marRight w:val="0"/>
          <w:marTop w:val="0"/>
          <w:marBottom w:val="0"/>
          <w:divBdr>
            <w:top w:val="none" w:sz="0" w:space="0" w:color="auto"/>
            <w:left w:val="none" w:sz="0" w:space="0" w:color="auto"/>
            <w:bottom w:val="none" w:sz="0" w:space="0" w:color="auto"/>
            <w:right w:val="none" w:sz="0" w:space="0" w:color="auto"/>
          </w:divBdr>
        </w:div>
        <w:div w:id="648822875">
          <w:marLeft w:val="0"/>
          <w:marRight w:val="0"/>
          <w:marTop w:val="0"/>
          <w:marBottom w:val="0"/>
          <w:divBdr>
            <w:top w:val="none" w:sz="0" w:space="0" w:color="auto"/>
            <w:left w:val="none" w:sz="0" w:space="0" w:color="auto"/>
            <w:bottom w:val="none" w:sz="0" w:space="0" w:color="auto"/>
            <w:right w:val="none" w:sz="0" w:space="0" w:color="auto"/>
          </w:divBdr>
        </w:div>
        <w:div w:id="1440485720">
          <w:marLeft w:val="0"/>
          <w:marRight w:val="0"/>
          <w:marTop w:val="0"/>
          <w:marBottom w:val="0"/>
          <w:divBdr>
            <w:top w:val="none" w:sz="0" w:space="0" w:color="auto"/>
            <w:left w:val="none" w:sz="0" w:space="0" w:color="auto"/>
            <w:bottom w:val="none" w:sz="0" w:space="0" w:color="auto"/>
            <w:right w:val="none" w:sz="0" w:space="0" w:color="auto"/>
          </w:divBdr>
        </w:div>
        <w:div w:id="2017032943">
          <w:marLeft w:val="0"/>
          <w:marRight w:val="0"/>
          <w:marTop w:val="0"/>
          <w:marBottom w:val="0"/>
          <w:divBdr>
            <w:top w:val="none" w:sz="0" w:space="0" w:color="auto"/>
            <w:left w:val="none" w:sz="0" w:space="0" w:color="auto"/>
            <w:bottom w:val="none" w:sz="0" w:space="0" w:color="auto"/>
            <w:right w:val="none" w:sz="0" w:space="0" w:color="auto"/>
          </w:divBdr>
        </w:div>
      </w:divsChild>
    </w:div>
    <w:div w:id="1413309949">
      <w:bodyDiv w:val="1"/>
      <w:marLeft w:val="0"/>
      <w:marRight w:val="0"/>
      <w:marTop w:val="0"/>
      <w:marBottom w:val="0"/>
      <w:divBdr>
        <w:top w:val="none" w:sz="0" w:space="0" w:color="auto"/>
        <w:left w:val="none" w:sz="0" w:space="0" w:color="auto"/>
        <w:bottom w:val="none" w:sz="0" w:space="0" w:color="auto"/>
        <w:right w:val="none" w:sz="0" w:space="0" w:color="auto"/>
      </w:divBdr>
    </w:div>
    <w:div w:id="1526016548">
      <w:bodyDiv w:val="1"/>
      <w:marLeft w:val="0"/>
      <w:marRight w:val="0"/>
      <w:marTop w:val="0"/>
      <w:marBottom w:val="0"/>
      <w:divBdr>
        <w:top w:val="none" w:sz="0" w:space="0" w:color="auto"/>
        <w:left w:val="none" w:sz="0" w:space="0" w:color="auto"/>
        <w:bottom w:val="none" w:sz="0" w:space="0" w:color="auto"/>
        <w:right w:val="none" w:sz="0" w:space="0" w:color="auto"/>
      </w:divBdr>
      <w:divsChild>
        <w:div w:id="194579348">
          <w:marLeft w:val="0"/>
          <w:marRight w:val="0"/>
          <w:marTop w:val="0"/>
          <w:marBottom w:val="0"/>
          <w:divBdr>
            <w:top w:val="none" w:sz="0" w:space="0" w:color="auto"/>
            <w:left w:val="none" w:sz="0" w:space="0" w:color="auto"/>
            <w:bottom w:val="none" w:sz="0" w:space="0" w:color="auto"/>
            <w:right w:val="none" w:sz="0" w:space="0" w:color="auto"/>
          </w:divBdr>
        </w:div>
        <w:div w:id="210657153">
          <w:marLeft w:val="0"/>
          <w:marRight w:val="0"/>
          <w:marTop w:val="0"/>
          <w:marBottom w:val="0"/>
          <w:divBdr>
            <w:top w:val="none" w:sz="0" w:space="0" w:color="auto"/>
            <w:left w:val="none" w:sz="0" w:space="0" w:color="auto"/>
            <w:bottom w:val="none" w:sz="0" w:space="0" w:color="auto"/>
            <w:right w:val="none" w:sz="0" w:space="0" w:color="auto"/>
          </w:divBdr>
        </w:div>
        <w:div w:id="639190243">
          <w:marLeft w:val="0"/>
          <w:marRight w:val="0"/>
          <w:marTop w:val="0"/>
          <w:marBottom w:val="0"/>
          <w:divBdr>
            <w:top w:val="none" w:sz="0" w:space="0" w:color="auto"/>
            <w:left w:val="none" w:sz="0" w:space="0" w:color="auto"/>
            <w:bottom w:val="none" w:sz="0" w:space="0" w:color="auto"/>
            <w:right w:val="none" w:sz="0" w:space="0" w:color="auto"/>
          </w:divBdr>
        </w:div>
        <w:div w:id="1219514881">
          <w:marLeft w:val="0"/>
          <w:marRight w:val="0"/>
          <w:marTop w:val="0"/>
          <w:marBottom w:val="0"/>
          <w:divBdr>
            <w:top w:val="none" w:sz="0" w:space="0" w:color="auto"/>
            <w:left w:val="none" w:sz="0" w:space="0" w:color="auto"/>
            <w:bottom w:val="none" w:sz="0" w:space="0" w:color="auto"/>
            <w:right w:val="none" w:sz="0" w:space="0" w:color="auto"/>
          </w:divBdr>
        </w:div>
        <w:div w:id="1472402706">
          <w:marLeft w:val="0"/>
          <w:marRight w:val="0"/>
          <w:marTop w:val="0"/>
          <w:marBottom w:val="0"/>
          <w:divBdr>
            <w:top w:val="none" w:sz="0" w:space="0" w:color="auto"/>
            <w:left w:val="none" w:sz="0" w:space="0" w:color="auto"/>
            <w:bottom w:val="none" w:sz="0" w:space="0" w:color="auto"/>
            <w:right w:val="none" w:sz="0" w:space="0" w:color="auto"/>
          </w:divBdr>
        </w:div>
      </w:divsChild>
    </w:div>
    <w:div w:id="1612400370">
      <w:bodyDiv w:val="1"/>
      <w:marLeft w:val="0"/>
      <w:marRight w:val="0"/>
      <w:marTop w:val="0"/>
      <w:marBottom w:val="0"/>
      <w:divBdr>
        <w:top w:val="none" w:sz="0" w:space="0" w:color="auto"/>
        <w:left w:val="none" w:sz="0" w:space="0" w:color="auto"/>
        <w:bottom w:val="none" w:sz="0" w:space="0" w:color="auto"/>
        <w:right w:val="none" w:sz="0" w:space="0" w:color="auto"/>
      </w:divBdr>
    </w:div>
    <w:div w:id="1795638107">
      <w:bodyDiv w:val="1"/>
      <w:marLeft w:val="0"/>
      <w:marRight w:val="0"/>
      <w:marTop w:val="0"/>
      <w:marBottom w:val="0"/>
      <w:divBdr>
        <w:top w:val="none" w:sz="0" w:space="0" w:color="auto"/>
        <w:left w:val="none" w:sz="0" w:space="0" w:color="auto"/>
        <w:bottom w:val="none" w:sz="0" w:space="0" w:color="auto"/>
        <w:right w:val="none" w:sz="0" w:space="0" w:color="auto"/>
      </w:divBdr>
      <w:divsChild>
        <w:div w:id="800920917">
          <w:marLeft w:val="0"/>
          <w:marRight w:val="0"/>
          <w:marTop w:val="0"/>
          <w:marBottom w:val="0"/>
          <w:divBdr>
            <w:top w:val="none" w:sz="0" w:space="0" w:color="auto"/>
            <w:left w:val="none" w:sz="0" w:space="0" w:color="auto"/>
            <w:bottom w:val="none" w:sz="0" w:space="0" w:color="auto"/>
            <w:right w:val="none" w:sz="0" w:space="0" w:color="auto"/>
          </w:divBdr>
        </w:div>
        <w:div w:id="1905988137">
          <w:marLeft w:val="0"/>
          <w:marRight w:val="0"/>
          <w:marTop w:val="0"/>
          <w:marBottom w:val="0"/>
          <w:divBdr>
            <w:top w:val="none" w:sz="0" w:space="0" w:color="auto"/>
            <w:left w:val="none" w:sz="0" w:space="0" w:color="auto"/>
            <w:bottom w:val="none" w:sz="0" w:space="0" w:color="auto"/>
            <w:right w:val="none" w:sz="0" w:space="0" w:color="auto"/>
          </w:divBdr>
        </w:div>
      </w:divsChild>
    </w:div>
    <w:div w:id="1932662596">
      <w:bodyDiv w:val="1"/>
      <w:marLeft w:val="0"/>
      <w:marRight w:val="0"/>
      <w:marTop w:val="0"/>
      <w:marBottom w:val="0"/>
      <w:divBdr>
        <w:top w:val="none" w:sz="0" w:space="0" w:color="auto"/>
        <w:left w:val="none" w:sz="0" w:space="0" w:color="auto"/>
        <w:bottom w:val="none" w:sz="0" w:space="0" w:color="auto"/>
        <w:right w:val="none" w:sz="0" w:space="0" w:color="auto"/>
      </w:divBdr>
      <w:divsChild>
        <w:div w:id="33192655">
          <w:marLeft w:val="0"/>
          <w:marRight w:val="0"/>
          <w:marTop w:val="0"/>
          <w:marBottom w:val="0"/>
          <w:divBdr>
            <w:top w:val="none" w:sz="0" w:space="0" w:color="auto"/>
            <w:left w:val="none" w:sz="0" w:space="0" w:color="auto"/>
            <w:bottom w:val="none" w:sz="0" w:space="0" w:color="auto"/>
            <w:right w:val="none" w:sz="0" w:space="0" w:color="auto"/>
          </w:divBdr>
        </w:div>
        <w:div w:id="665594983">
          <w:marLeft w:val="0"/>
          <w:marRight w:val="0"/>
          <w:marTop w:val="0"/>
          <w:marBottom w:val="0"/>
          <w:divBdr>
            <w:top w:val="none" w:sz="0" w:space="0" w:color="auto"/>
            <w:left w:val="none" w:sz="0" w:space="0" w:color="auto"/>
            <w:bottom w:val="none" w:sz="0" w:space="0" w:color="auto"/>
            <w:right w:val="none" w:sz="0" w:space="0" w:color="auto"/>
          </w:divBdr>
        </w:div>
        <w:div w:id="1279802954">
          <w:marLeft w:val="0"/>
          <w:marRight w:val="0"/>
          <w:marTop w:val="0"/>
          <w:marBottom w:val="0"/>
          <w:divBdr>
            <w:top w:val="none" w:sz="0" w:space="0" w:color="auto"/>
            <w:left w:val="none" w:sz="0" w:space="0" w:color="auto"/>
            <w:bottom w:val="none" w:sz="0" w:space="0" w:color="auto"/>
            <w:right w:val="none" w:sz="0" w:space="0" w:color="auto"/>
          </w:divBdr>
        </w:div>
        <w:div w:id="1958174645">
          <w:marLeft w:val="0"/>
          <w:marRight w:val="0"/>
          <w:marTop w:val="0"/>
          <w:marBottom w:val="0"/>
          <w:divBdr>
            <w:top w:val="none" w:sz="0" w:space="0" w:color="auto"/>
            <w:left w:val="none" w:sz="0" w:space="0" w:color="auto"/>
            <w:bottom w:val="none" w:sz="0" w:space="0" w:color="auto"/>
            <w:right w:val="none" w:sz="0" w:space="0" w:color="auto"/>
          </w:divBdr>
        </w:div>
      </w:divsChild>
    </w:div>
    <w:div w:id="2145153836">
      <w:bodyDiv w:val="1"/>
      <w:marLeft w:val="0"/>
      <w:marRight w:val="0"/>
      <w:marTop w:val="0"/>
      <w:marBottom w:val="0"/>
      <w:divBdr>
        <w:top w:val="none" w:sz="0" w:space="0" w:color="auto"/>
        <w:left w:val="none" w:sz="0" w:space="0" w:color="auto"/>
        <w:bottom w:val="none" w:sz="0" w:space="0" w:color="auto"/>
        <w:right w:val="none" w:sz="0" w:space="0" w:color="auto"/>
      </w:divBdr>
      <w:divsChild>
        <w:div w:id="750003845">
          <w:marLeft w:val="0"/>
          <w:marRight w:val="0"/>
          <w:marTop w:val="0"/>
          <w:marBottom w:val="0"/>
          <w:divBdr>
            <w:top w:val="none" w:sz="0" w:space="0" w:color="auto"/>
            <w:left w:val="none" w:sz="0" w:space="0" w:color="auto"/>
            <w:bottom w:val="none" w:sz="0" w:space="0" w:color="auto"/>
            <w:right w:val="none" w:sz="0" w:space="0" w:color="auto"/>
          </w:divBdr>
        </w:div>
        <w:div w:id="955521943">
          <w:marLeft w:val="0"/>
          <w:marRight w:val="0"/>
          <w:marTop w:val="0"/>
          <w:marBottom w:val="0"/>
          <w:divBdr>
            <w:top w:val="none" w:sz="0" w:space="0" w:color="auto"/>
            <w:left w:val="none" w:sz="0" w:space="0" w:color="auto"/>
            <w:bottom w:val="none" w:sz="0" w:space="0" w:color="auto"/>
            <w:right w:val="none" w:sz="0" w:space="0" w:color="auto"/>
          </w:divBdr>
        </w:div>
        <w:div w:id="1008216834">
          <w:marLeft w:val="0"/>
          <w:marRight w:val="0"/>
          <w:marTop w:val="0"/>
          <w:marBottom w:val="0"/>
          <w:divBdr>
            <w:top w:val="none" w:sz="0" w:space="0" w:color="auto"/>
            <w:left w:val="none" w:sz="0" w:space="0" w:color="auto"/>
            <w:bottom w:val="none" w:sz="0" w:space="0" w:color="auto"/>
            <w:right w:val="none" w:sz="0" w:space="0" w:color="auto"/>
          </w:divBdr>
        </w:div>
        <w:div w:id="1043095847">
          <w:marLeft w:val="0"/>
          <w:marRight w:val="0"/>
          <w:marTop w:val="0"/>
          <w:marBottom w:val="0"/>
          <w:divBdr>
            <w:top w:val="none" w:sz="0" w:space="0" w:color="auto"/>
            <w:left w:val="none" w:sz="0" w:space="0" w:color="auto"/>
            <w:bottom w:val="none" w:sz="0" w:space="0" w:color="auto"/>
            <w:right w:val="none" w:sz="0" w:space="0" w:color="auto"/>
          </w:divBdr>
        </w:div>
        <w:div w:id="210121976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4828</Words>
  <Characters>27525</Characters>
  <Application>Microsoft Office Word</Application>
  <DocSecurity>0</DocSecurity>
  <Lines>229</Lines>
  <Paragraphs>64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Hreferralspccleanen</vt:lpstr>
      <vt:lpstr>Hreferralspccleanen</vt:lpstr>
    </vt:vector>
  </TitlesOfParts>
  <Company>EMEA</Company>
  <LinksUpToDate>false</LinksUpToDate>
  <CharactersWithSpaces>32289</CharactersWithSpaces>
  <SharedDoc>false</SharedDoc>
  <HLinks>
    <vt:vector size="6" baseType="variant">
      <vt:variant>
        <vt:i4>6619261</vt:i4>
      </vt:variant>
      <vt:variant>
        <vt:i4>0</vt:i4>
      </vt:variant>
      <vt:variant>
        <vt:i4>0</vt:i4>
      </vt:variant>
      <vt:variant>
        <vt:i4>5</vt:i4>
      </vt:variant>
      <vt:variant>
        <vt:lpwstr>http://www.bda.bg/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Dereń Agnieszka</dc:creator>
  <cp:keywords/>
  <cp:lastModifiedBy>Najda-Mocarska Ewelina</cp:lastModifiedBy>
  <cp:revision>2</cp:revision>
  <cp:lastPrinted>2016-12-15T12:05:00Z</cp:lastPrinted>
  <dcterms:created xsi:type="dcterms:W3CDTF">2020-08-11T09:58:00Z</dcterms:created>
  <dcterms:modified xsi:type="dcterms:W3CDTF">2020-08-11T09:58:00Z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y fmtid="{D5CDD505-2E9C-101B-9397-08002B2CF9AE}" pid="43" name="Procedure_number">
    <vt:lpwstr/>
  </property>
  <property fmtid="{D5CDD505-2E9C-101B-9397-08002B2CF9AE}" pid="44" name="IconOverlay">
    <vt:lpwstr/>
  </property>
  <property fmtid="{D5CDD505-2E9C-101B-9397-08002B2CF9AE}" pid="45" name="Trade name">
    <vt:lpwstr/>
  </property>
</Properties>
</file>